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994C" w14:textId="77777777" w:rsidR="00D95573" w:rsidRDefault="00572E5D" w:rsidP="0056309D">
      <w:pPr>
        <w:jc w:val="center"/>
        <w:rPr>
          <w:b/>
          <w:u w:val="single"/>
        </w:rPr>
      </w:pPr>
      <w:r>
        <w:rPr>
          <w:b/>
          <w:u w:val="single"/>
        </w:rPr>
        <w:t xml:space="preserve">TEMPORARY </w:t>
      </w:r>
      <w:r w:rsidR="009B497A">
        <w:rPr>
          <w:b/>
          <w:u w:val="single"/>
        </w:rPr>
        <w:t xml:space="preserve">COVID-19 </w:t>
      </w:r>
      <w:r w:rsidR="00F346D2">
        <w:rPr>
          <w:b/>
          <w:u w:val="single"/>
        </w:rPr>
        <w:t>A</w:t>
      </w:r>
      <w:r w:rsidR="00A044AB">
        <w:rPr>
          <w:b/>
          <w:u w:val="single"/>
        </w:rPr>
        <w:t>DDENDUM</w:t>
      </w:r>
      <w:r w:rsidR="00B32F87">
        <w:rPr>
          <w:b/>
          <w:u w:val="single"/>
        </w:rPr>
        <w:t xml:space="preserve"> </w:t>
      </w:r>
      <w:commentRangeStart w:id="0"/>
      <w:r>
        <w:rPr>
          <w:b/>
          <w:u w:val="single"/>
        </w:rPr>
        <w:t>[including comments]</w:t>
      </w:r>
      <w:commentRangeEnd w:id="0"/>
      <w:r>
        <w:rPr>
          <w:rStyle w:val="CommentReference"/>
        </w:rPr>
        <w:commentReference w:id="0"/>
      </w:r>
    </w:p>
    <w:p w14:paraId="5F0BC3E9" w14:textId="77777777" w:rsidR="0056309D" w:rsidRDefault="0056309D" w:rsidP="0056309D">
      <w:pPr>
        <w:rPr>
          <w:b/>
          <w:u w:val="single"/>
        </w:rPr>
      </w:pPr>
    </w:p>
    <w:p w14:paraId="6167B089" w14:textId="77777777" w:rsidR="00794241" w:rsidRDefault="00A044AB" w:rsidP="00D95573">
      <w:pPr>
        <w:rPr>
          <w:rFonts w:cstheme="minorHAnsi"/>
        </w:rPr>
      </w:pPr>
      <w:r w:rsidRPr="00A044AB">
        <w:rPr>
          <w:b/>
        </w:rPr>
        <w:t>THIS ADDENDUM</w:t>
      </w:r>
      <w:r>
        <w:rPr>
          <w:b/>
        </w:rPr>
        <w:t>,</w:t>
      </w:r>
      <w:r w:rsidRPr="00A044AB">
        <w:rPr>
          <w:b/>
        </w:rPr>
        <w:t xml:space="preserve"> WHICH AMENDS THE [</w:t>
      </w:r>
      <w:r w:rsidRPr="00A044AB">
        <w:rPr>
          <w:rFonts w:cstheme="minorHAnsi"/>
          <w:b/>
        </w:rPr>
        <w:t>•</w:t>
      </w:r>
      <w:r w:rsidR="009B497A" w:rsidRPr="00E53403">
        <w:rPr>
          <w:rStyle w:val="CommentReference"/>
          <w:b/>
        </w:rPr>
        <w:commentReference w:id="1"/>
      </w:r>
      <w:r w:rsidRPr="00A044AB">
        <w:rPr>
          <w:rFonts w:cstheme="minorHAnsi"/>
          <w:b/>
        </w:rPr>
        <w:t>] AGREEMENT</w:t>
      </w:r>
      <w:r w:rsidRPr="00A044AB">
        <w:rPr>
          <w:b/>
        </w:rPr>
        <w:t xml:space="preserve"> (“AGREEMENT”), IS EFFECTIVE AS OF [</w:t>
      </w:r>
      <w:r w:rsidRPr="00A044AB">
        <w:rPr>
          <w:rFonts w:cstheme="minorHAnsi"/>
          <w:b/>
        </w:rPr>
        <w:t>•] (“EFFECTIVE DATE”)</w:t>
      </w:r>
      <w:r w:rsidR="00A30E79">
        <w:rPr>
          <w:rFonts w:cstheme="minorHAnsi"/>
        </w:rPr>
        <w:t xml:space="preserve"> </w:t>
      </w:r>
    </w:p>
    <w:p w14:paraId="61EC7160" w14:textId="77777777" w:rsidR="00A044AB" w:rsidRDefault="00A044AB" w:rsidP="00D95573"/>
    <w:p w14:paraId="46C66882" w14:textId="77777777" w:rsidR="00D95573" w:rsidRPr="00E53403" w:rsidRDefault="00BE39B7" w:rsidP="002E52EA">
      <w:pPr>
        <w:rPr>
          <w:b/>
        </w:rPr>
      </w:pPr>
      <w:r>
        <w:rPr>
          <w:b/>
        </w:rPr>
        <w:t>BETWEEN</w:t>
      </w:r>
    </w:p>
    <w:p w14:paraId="44A42E00" w14:textId="77777777" w:rsidR="00A30E79" w:rsidRDefault="00A30E79" w:rsidP="002E52EA">
      <w:pPr>
        <w:ind w:left="720"/>
      </w:pPr>
      <w:r>
        <w:t>[</w:t>
      </w:r>
      <w:r>
        <w:rPr>
          <w:rFonts w:cstheme="minorHAnsi"/>
        </w:rPr>
        <w:t>•]</w:t>
      </w:r>
      <w:r w:rsidR="00D95573">
        <w:t xml:space="preserve">, a </w:t>
      </w:r>
      <w:r>
        <w:t>[</w:t>
      </w:r>
      <w:r>
        <w:rPr>
          <w:rFonts w:cstheme="minorHAnsi"/>
        </w:rPr>
        <w:t>•]</w:t>
      </w:r>
      <w:r w:rsidR="00D95573">
        <w:t xml:space="preserve"> company incorporated under the laws of </w:t>
      </w:r>
      <w:r>
        <w:t>[</w:t>
      </w:r>
      <w:r>
        <w:rPr>
          <w:rFonts w:cstheme="minorHAnsi"/>
        </w:rPr>
        <w:t>•]</w:t>
      </w:r>
      <w:r w:rsidR="00D95573">
        <w:t xml:space="preserve">, and registered with the </w:t>
      </w:r>
      <w:r>
        <w:t>[</w:t>
      </w:r>
      <w:r>
        <w:rPr>
          <w:rFonts w:cstheme="minorHAnsi"/>
        </w:rPr>
        <w:t>•]</w:t>
      </w:r>
      <w:r>
        <w:t xml:space="preserve"> </w:t>
      </w:r>
      <w:r w:rsidR="00D95573">
        <w:t xml:space="preserve">Register of Commerce and Companies under number </w:t>
      </w:r>
      <w:r>
        <w:t>[</w:t>
      </w:r>
      <w:r>
        <w:rPr>
          <w:rFonts w:cstheme="minorHAnsi"/>
        </w:rPr>
        <w:t xml:space="preserve">•] </w:t>
      </w:r>
      <w:r w:rsidR="00D95573">
        <w:t>and whose registered office is a</w:t>
      </w:r>
      <w:r>
        <w:t>t [</w:t>
      </w:r>
      <w:r>
        <w:rPr>
          <w:rFonts w:cstheme="minorHAnsi"/>
        </w:rPr>
        <w:t>•]</w:t>
      </w:r>
      <w:r>
        <w:t>, in this matter represented by  [</w:t>
      </w:r>
      <w:r>
        <w:rPr>
          <w:rFonts w:cstheme="minorHAnsi"/>
        </w:rPr>
        <w:t>•]</w:t>
      </w:r>
      <w:r>
        <w:t>, acting as  [</w:t>
      </w:r>
      <w:r>
        <w:rPr>
          <w:rFonts w:cstheme="minorHAnsi"/>
        </w:rPr>
        <w:t>•]</w:t>
      </w:r>
      <w:r>
        <w:t xml:space="preserve">, </w:t>
      </w:r>
      <w:r w:rsidR="00D95573">
        <w:t xml:space="preserve"> </w:t>
      </w:r>
    </w:p>
    <w:p w14:paraId="6985899E" w14:textId="77777777" w:rsidR="00D95573" w:rsidRDefault="00D95573" w:rsidP="002E52EA">
      <w:pPr>
        <w:ind w:left="720"/>
      </w:pPr>
      <w:r>
        <w:t>Hereinafter referred to as the “</w:t>
      </w:r>
      <w:r w:rsidR="00A30E79" w:rsidRPr="00E22382">
        <w:rPr>
          <w:b/>
          <w:bCs/>
        </w:rPr>
        <w:t>Party 1</w:t>
      </w:r>
      <w:r>
        <w:t xml:space="preserve">”; </w:t>
      </w:r>
    </w:p>
    <w:p w14:paraId="42FD6783" w14:textId="77777777" w:rsidR="00D95573" w:rsidRDefault="00A044AB" w:rsidP="00D95573">
      <w:r w:rsidRPr="00E53403">
        <w:rPr>
          <w:b/>
        </w:rPr>
        <w:t>AND</w:t>
      </w:r>
      <w:r w:rsidR="00D95573">
        <w:t>,</w:t>
      </w:r>
    </w:p>
    <w:p w14:paraId="0E78E2C3" w14:textId="77777777" w:rsidR="00A30E79" w:rsidRDefault="00A30E79" w:rsidP="00A30E79">
      <w:pPr>
        <w:ind w:left="720"/>
      </w:pPr>
      <w:r>
        <w:t>[</w:t>
      </w:r>
      <w:r>
        <w:rPr>
          <w:rFonts w:cstheme="minorHAnsi"/>
        </w:rPr>
        <w:t>•]</w:t>
      </w:r>
      <w:r>
        <w:t>, a [</w:t>
      </w:r>
      <w:r>
        <w:rPr>
          <w:rFonts w:cstheme="minorHAnsi"/>
        </w:rPr>
        <w:t>•]</w:t>
      </w:r>
      <w:r>
        <w:t xml:space="preserve"> company incorporated under the laws of [</w:t>
      </w:r>
      <w:r>
        <w:rPr>
          <w:rFonts w:cstheme="minorHAnsi"/>
        </w:rPr>
        <w:t>•]</w:t>
      </w:r>
      <w:r>
        <w:t>, and registered with the [</w:t>
      </w:r>
      <w:r>
        <w:rPr>
          <w:rFonts w:cstheme="minorHAnsi"/>
        </w:rPr>
        <w:t>•]</w:t>
      </w:r>
      <w:r>
        <w:t xml:space="preserve"> Register of Commerce and Companies under number [</w:t>
      </w:r>
      <w:r>
        <w:rPr>
          <w:rFonts w:cstheme="minorHAnsi"/>
        </w:rPr>
        <w:t xml:space="preserve">•] </w:t>
      </w:r>
      <w:r>
        <w:t>and whose registered office is at [</w:t>
      </w:r>
      <w:r>
        <w:rPr>
          <w:rFonts w:cstheme="minorHAnsi"/>
        </w:rPr>
        <w:t>•]</w:t>
      </w:r>
      <w:r>
        <w:t>, in this matter represented by  [</w:t>
      </w:r>
      <w:r>
        <w:rPr>
          <w:rFonts w:cstheme="minorHAnsi"/>
        </w:rPr>
        <w:t>•]</w:t>
      </w:r>
      <w:r>
        <w:t>, acting as  [</w:t>
      </w:r>
      <w:r>
        <w:rPr>
          <w:rFonts w:cstheme="minorHAnsi"/>
        </w:rPr>
        <w:t>•]</w:t>
      </w:r>
      <w:r>
        <w:t xml:space="preserve">,  </w:t>
      </w:r>
    </w:p>
    <w:p w14:paraId="4EA001F8" w14:textId="77777777" w:rsidR="00A30E79" w:rsidRDefault="00A30E79" w:rsidP="00A30E79">
      <w:pPr>
        <w:ind w:left="720"/>
      </w:pPr>
      <w:r>
        <w:t>Hereinafter referred to as the “</w:t>
      </w:r>
      <w:r w:rsidRPr="00E22382">
        <w:rPr>
          <w:b/>
          <w:bCs/>
        </w:rPr>
        <w:t>Party 2</w:t>
      </w:r>
      <w:r>
        <w:t xml:space="preserve">”; </w:t>
      </w:r>
    </w:p>
    <w:p w14:paraId="6B786A99" w14:textId="77777777" w:rsidR="008E29DF" w:rsidRDefault="008E29DF" w:rsidP="00D95573"/>
    <w:p w14:paraId="059E51D1" w14:textId="77777777" w:rsidR="00E22382" w:rsidRPr="00CD68E9" w:rsidRDefault="00E22382" w:rsidP="00E22382">
      <w:pPr>
        <w:pStyle w:val="FWParties"/>
        <w:numPr>
          <w:ilvl w:val="0"/>
          <w:numId w:val="0"/>
        </w:numPr>
        <w:tabs>
          <w:tab w:val="left" w:pos="960"/>
        </w:tabs>
        <w:rPr>
          <w:rFonts w:asciiTheme="minorHAnsi" w:hAnsiTheme="minorHAnsi" w:cstheme="minorHAnsi"/>
          <w:sz w:val="22"/>
          <w:szCs w:val="20"/>
          <w:lang w:val="en-US"/>
        </w:rPr>
      </w:pPr>
      <w:r>
        <w:rPr>
          <w:rFonts w:asciiTheme="minorHAnsi" w:hAnsiTheme="minorHAnsi" w:cstheme="minorHAnsi"/>
          <w:sz w:val="22"/>
          <w:szCs w:val="20"/>
          <w:lang w:val="en-US"/>
        </w:rPr>
        <w:t>Party 1</w:t>
      </w:r>
      <w:r w:rsidRPr="00CD68E9">
        <w:rPr>
          <w:rFonts w:asciiTheme="minorHAnsi" w:hAnsiTheme="minorHAnsi" w:cstheme="minorHAnsi"/>
          <w:sz w:val="22"/>
          <w:szCs w:val="20"/>
          <w:lang w:val="en-US"/>
        </w:rPr>
        <w:t xml:space="preserve"> and</w:t>
      </w:r>
      <w:r>
        <w:rPr>
          <w:rFonts w:asciiTheme="minorHAnsi" w:hAnsiTheme="minorHAnsi" w:cstheme="minorHAnsi"/>
          <w:sz w:val="22"/>
          <w:szCs w:val="20"/>
          <w:lang w:val="en-US"/>
        </w:rPr>
        <w:t xml:space="preserve"> Party 2</w:t>
      </w:r>
      <w:r w:rsidRPr="00CD68E9">
        <w:rPr>
          <w:rFonts w:asciiTheme="minorHAnsi" w:hAnsiTheme="minorHAnsi" w:cstheme="minorHAnsi"/>
          <w:sz w:val="22"/>
          <w:szCs w:val="20"/>
          <w:lang w:val="en-US"/>
        </w:rPr>
        <w:t xml:space="preserve"> are hereinafter </w:t>
      </w:r>
      <w:r w:rsidR="00A044AB">
        <w:rPr>
          <w:rFonts w:asciiTheme="minorHAnsi" w:hAnsiTheme="minorHAnsi" w:cstheme="minorHAnsi"/>
          <w:sz w:val="22"/>
          <w:szCs w:val="20"/>
          <w:lang w:val="en-US"/>
        </w:rPr>
        <w:t>collectively referred to as the “</w:t>
      </w:r>
      <w:r w:rsidR="00A044AB" w:rsidRPr="00E53403">
        <w:rPr>
          <w:rFonts w:asciiTheme="minorHAnsi" w:hAnsiTheme="minorHAnsi" w:cstheme="minorHAnsi"/>
          <w:b/>
          <w:sz w:val="22"/>
          <w:szCs w:val="20"/>
          <w:lang w:val="en-US"/>
        </w:rPr>
        <w:t>Parties</w:t>
      </w:r>
      <w:r w:rsidR="00A044AB">
        <w:rPr>
          <w:rFonts w:asciiTheme="minorHAnsi" w:hAnsiTheme="minorHAnsi" w:cstheme="minorHAnsi"/>
          <w:sz w:val="22"/>
          <w:szCs w:val="20"/>
          <w:lang w:val="en-US"/>
        </w:rPr>
        <w:t xml:space="preserve">” and individually referred to </w:t>
      </w:r>
      <w:r w:rsidR="00E53403">
        <w:rPr>
          <w:rFonts w:asciiTheme="minorHAnsi" w:hAnsiTheme="minorHAnsi" w:cstheme="minorHAnsi"/>
          <w:sz w:val="22"/>
          <w:szCs w:val="20"/>
          <w:lang w:val="en-US"/>
        </w:rPr>
        <w:t xml:space="preserve">as </w:t>
      </w:r>
      <w:r w:rsidR="00E53403" w:rsidRPr="00CD68E9">
        <w:rPr>
          <w:rFonts w:asciiTheme="minorHAnsi" w:hAnsiTheme="minorHAnsi" w:cstheme="minorHAnsi"/>
          <w:sz w:val="22"/>
          <w:szCs w:val="20"/>
          <w:lang w:val="en-US"/>
        </w:rPr>
        <w:t>“</w:t>
      </w:r>
      <w:r w:rsidRPr="00CD68E9">
        <w:rPr>
          <w:rFonts w:asciiTheme="minorHAnsi" w:hAnsiTheme="minorHAnsi" w:cstheme="minorHAnsi"/>
          <w:b/>
          <w:sz w:val="22"/>
          <w:szCs w:val="20"/>
          <w:lang w:val="en-US"/>
        </w:rPr>
        <w:t>Party</w:t>
      </w:r>
      <w:r w:rsidRPr="00CD68E9">
        <w:rPr>
          <w:rFonts w:asciiTheme="minorHAnsi" w:hAnsiTheme="minorHAnsi" w:cstheme="minorHAnsi"/>
          <w:sz w:val="22"/>
          <w:szCs w:val="20"/>
          <w:lang w:val="en-US"/>
        </w:rPr>
        <w:t>”.</w:t>
      </w:r>
    </w:p>
    <w:p w14:paraId="25B57780" w14:textId="77777777" w:rsidR="002238DF" w:rsidRDefault="002238DF" w:rsidP="00D95573"/>
    <w:p w14:paraId="3DB6224C" w14:textId="77777777" w:rsidR="00002527" w:rsidRPr="00E75709" w:rsidRDefault="00BE39B7" w:rsidP="00D95573">
      <w:pPr>
        <w:rPr>
          <w:b/>
        </w:rPr>
      </w:pPr>
      <w:r>
        <w:rPr>
          <w:b/>
        </w:rPr>
        <w:t>WHEREAS</w:t>
      </w:r>
      <w:r w:rsidR="009B497A" w:rsidRPr="00E75709">
        <w:rPr>
          <w:rStyle w:val="CommentReference"/>
          <w:b/>
        </w:rPr>
        <w:commentReference w:id="2"/>
      </w:r>
    </w:p>
    <w:p w14:paraId="0F4E8B50" w14:textId="77777777" w:rsidR="009B497A" w:rsidRDefault="00B075B6" w:rsidP="009B497A">
      <w:pPr>
        <w:pStyle w:val="ListParagraph"/>
        <w:numPr>
          <w:ilvl w:val="0"/>
          <w:numId w:val="4"/>
        </w:numPr>
      </w:pPr>
      <w:commentRangeStart w:id="3"/>
      <w:r>
        <w:t xml:space="preserve">The Covid-19 pandemic is considered to be an unforeseeable exceptional situation impacting personal and professional lives significantly. More in particular, the Codiv-19 pandemic is assumed to be an effectively significant danger for the world economy for which the actual magnitude of the negative impact on the economy as a whole is still unknown. </w:t>
      </w:r>
    </w:p>
    <w:p w14:paraId="53433D66" w14:textId="77777777" w:rsidR="009B497A" w:rsidRDefault="009B497A" w:rsidP="009B497A">
      <w:pPr>
        <w:pStyle w:val="ListParagraph"/>
      </w:pPr>
    </w:p>
    <w:p w14:paraId="55975AE1" w14:textId="77777777" w:rsidR="009B497A" w:rsidRDefault="00B075B6" w:rsidP="009B497A">
      <w:pPr>
        <w:pStyle w:val="ListParagraph"/>
        <w:numPr>
          <w:ilvl w:val="0"/>
          <w:numId w:val="4"/>
        </w:numPr>
      </w:pPr>
      <w:r>
        <w:t xml:space="preserve">Large parts of the world economy are put on-hold due to several measures taken by governments worldwide in order to defeat and overcome the Covid-19 outbreak in first instance from a healthcare perspective, coinciding with major consequences from an economic and financial perspective such as (non-limiting) ceasing of various business activities (be it production, assembly, distribution, etc.) in affected countries, impacting the continuity of supply chains across the world, limited movements of goods, increased (temporary) unemployment coinciding with a </w:t>
      </w:r>
      <w:r w:rsidRPr="00B019D5">
        <w:t xml:space="preserve">steep drop in consumption together with a </w:t>
      </w:r>
      <w:r>
        <w:t>breakdown of customer</w:t>
      </w:r>
      <w:r w:rsidRPr="00B019D5">
        <w:t xml:space="preserve"> confidence</w:t>
      </w:r>
      <w:r>
        <w:t xml:space="preserve">, potentially resulting in liquidity and solvability issues for many companies. </w:t>
      </w:r>
    </w:p>
    <w:p w14:paraId="2A864800" w14:textId="77777777" w:rsidR="009B497A" w:rsidRDefault="009B497A" w:rsidP="009B497A">
      <w:pPr>
        <w:pStyle w:val="ListParagraph"/>
      </w:pPr>
    </w:p>
    <w:p w14:paraId="7C84EECE" w14:textId="77777777" w:rsidR="00360B55" w:rsidRDefault="00360B55" w:rsidP="00360B55">
      <w:pPr>
        <w:pStyle w:val="ListParagraph"/>
        <w:numPr>
          <w:ilvl w:val="0"/>
          <w:numId w:val="4"/>
        </w:numPr>
      </w:pPr>
      <w:r>
        <w:t xml:space="preserve">Business partners worldwide, both in a non-related and related party context, are in direct need to re-evaluate their agreed upon terms and conditions and are assessing which reasonable </w:t>
      </w:r>
      <w:r>
        <w:lastRenderedPageBreak/>
        <w:t xml:space="preserve">measures to take in order to temporarily alter these terms and conditions on a short term in order to be able to survive this crisis on the longer run, even though the actual impact of the crisis will only become fully known in the longer run. </w:t>
      </w:r>
      <w:commentRangeEnd w:id="3"/>
      <w:r w:rsidR="009B497A">
        <w:rPr>
          <w:rStyle w:val="CommentReference"/>
        </w:rPr>
        <w:commentReference w:id="3"/>
      </w:r>
    </w:p>
    <w:p w14:paraId="12CA47A1" w14:textId="77777777" w:rsidR="00B075B6" w:rsidRDefault="00B075B6" w:rsidP="00332EF0">
      <w:pPr>
        <w:pStyle w:val="ListParagraph"/>
      </w:pPr>
    </w:p>
    <w:p w14:paraId="752AA973" w14:textId="77777777" w:rsidR="00402EE2" w:rsidRDefault="00402EE2" w:rsidP="00B075B6">
      <w:pPr>
        <w:pStyle w:val="ListParagraph"/>
        <w:numPr>
          <w:ilvl w:val="0"/>
          <w:numId w:val="4"/>
        </w:numPr>
      </w:pPr>
      <w:r>
        <w:t>Parties acknowledge</w:t>
      </w:r>
      <w:r w:rsidR="00B20094">
        <w:t xml:space="preserve"> that the Covid-19 </w:t>
      </w:r>
      <w:r w:rsidR="002E6888">
        <w:t>pan</w:t>
      </w:r>
      <w:r w:rsidR="00B20094">
        <w:t xml:space="preserve">demic </w:t>
      </w:r>
      <w:r w:rsidR="00B85454">
        <w:t xml:space="preserve">currently </w:t>
      </w:r>
      <w:r w:rsidR="00B20094">
        <w:t>has</w:t>
      </w:r>
      <w:r w:rsidR="00EA65D4">
        <w:t>, and for a period of time will continue to have,</w:t>
      </w:r>
      <w:r w:rsidR="00B20094">
        <w:t xml:space="preserve"> a </w:t>
      </w:r>
      <w:r w:rsidR="00EA65D4">
        <w:t>material</w:t>
      </w:r>
      <w:r w:rsidR="002607CE">
        <w:t xml:space="preserve"> </w:t>
      </w:r>
      <w:r w:rsidR="00B20094">
        <w:t>impact</w:t>
      </w:r>
      <w:r w:rsidR="00EA65D4">
        <w:t xml:space="preserve"> </w:t>
      </w:r>
      <w:r w:rsidR="00B075B6">
        <w:t xml:space="preserve">both on the economies in which Parties are active, their respective business operations, but also </w:t>
      </w:r>
      <w:r w:rsidR="00EA65D4">
        <w:t>on their respective responsibilities</w:t>
      </w:r>
      <w:r w:rsidR="00B075B6">
        <w:t xml:space="preserve"> and consequently the </w:t>
      </w:r>
      <w:commentRangeStart w:id="4"/>
      <w:r w:rsidR="00B075B6">
        <w:t>commercial and financial relation</w:t>
      </w:r>
      <w:commentRangeEnd w:id="4"/>
      <w:r w:rsidR="00313CE2">
        <w:rPr>
          <w:rStyle w:val="CommentReference"/>
        </w:rPr>
        <w:commentReference w:id="4"/>
      </w:r>
      <w:r w:rsidR="00B075B6">
        <w:t xml:space="preserve"> between the Parties, in a manner that was unanticipated </w:t>
      </w:r>
      <w:r w:rsidR="00360B55">
        <w:t>when concluding</w:t>
      </w:r>
      <w:r w:rsidR="00B075B6">
        <w:t xml:space="preserve"> the </w:t>
      </w:r>
      <w:r w:rsidR="00B20094">
        <w:t>Agreement</w:t>
      </w:r>
      <w:r w:rsidR="00061A3A">
        <w:t xml:space="preserve">. </w:t>
      </w:r>
    </w:p>
    <w:p w14:paraId="00B3A94D" w14:textId="77777777" w:rsidR="00767CC1" w:rsidRDefault="00767CC1" w:rsidP="00767CC1">
      <w:pPr>
        <w:pStyle w:val="ListParagraph"/>
      </w:pPr>
    </w:p>
    <w:p w14:paraId="0772A0A7" w14:textId="77777777" w:rsidR="00862524" w:rsidRDefault="00D80D90" w:rsidP="00DB4BC5">
      <w:pPr>
        <w:pStyle w:val="ListParagraph"/>
        <w:numPr>
          <w:ilvl w:val="0"/>
          <w:numId w:val="4"/>
        </w:numPr>
        <w:autoSpaceDE w:val="0"/>
        <w:autoSpaceDN w:val="0"/>
        <w:spacing w:before="40" w:after="40" w:line="240" w:lineRule="auto"/>
      </w:pPr>
      <w:r>
        <w:t xml:space="preserve">In this respect, </w:t>
      </w:r>
      <w:r w:rsidR="009D0576" w:rsidRPr="00D150F0">
        <w:t>P</w:t>
      </w:r>
      <w:r w:rsidR="005D72B7" w:rsidRPr="00D150F0">
        <w:t>arties</w:t>
      </w:r>
      <w:r w:rsidR="00841C4B" w:rsidRPr="00D150F0">
        <w:t xml:space="preserve"> have assessed</w:t>
      </w:r>
      <w:r w:rsidR="000E7D17" w:rsidRPr="00D150F0">
        <w:t xml:space="preserve"> - in good faith and within their best abilities</w:t>
      </w:r>
      <w:r w:rsidR="00841C4B" w:rsidRPr="00D150F0">
        <w:t xml:space="preserve"> </w:t>
      </w:r>
      <w:r w:rsidR="0011234A" w:rsidRPr="00D150F0">
        <w:t>at the time this A</w:t>
      </w:r>
      <w:r w:rsidR="00A044AB">
        <w:t>ddendum</w:t>
      </w:r>
      <w:r w:rsidR="0011234A" w:rsidRPr="00D150F0">
        <w:t xml:space="preserve"> was concluded </w:t>
      </w:r>
      <w:r w:rsidR="000E7D17" w:rsidRPr="00D150F0">
        <w:t xml:space="preserve">- </w:t>
      </w:r>
      <w:r w:rsidR="00841C4B" w:rsidRPr="00D150F0">
        <w:t>the impact of the</w:t>
      </w:r>
      <w:r w:rsidR="0056793D" w:rsidRPr="00D150F0">
        <w:t xml:space="preserve"> </w:t>
      </w:r>
      <w:r w:rsidR="001E18B1" w:rsidRPr="00D150F0">
        <w:t>Covid-19 on their</w:t>
      </w:r>
      <w:r w:rsidR="00862524">
        <w:t xml:space="preserve"> respective</w:t>
      </w:r>
      <w:r w:rsidR="001E18B1" w:rsidRPr="00D150F0">
        <w:t xml:space="preserve"> </w:t>
      </w:r>
      <w:r w:rsidR="00862524" w:rsidRPr="00D150F0">
        <w:t>activities</w:t>
      </w:r>
      <w:r w:rsidR="00862524">
        <w:t xml:space="preserve">, on their </w:t>
      </w:r>
      <w:commentRangeStart w:id="5"/>
      <w:r w:rsidR="00862524">
        <w:t>commercial and financial relation</w:t>
      </w:r>
      <w:commentRangeEnd w:id="5"/>
      <w:r w:rsidR="00313CE2">
        <w:rPr>
          <w:rStyle w:val="CommentReference"/>
        </w:rPr>
        <w:commentReference w:id="5"/>
      </w:r>
      <w:r w:rsidR="00862524">
        <w:t>, on their respective responsibilities under the Agreement, and have agreed to conclude</w:t>
      </w:r>
      <w:r w:rsidR="00862524" w:rsidRPr="00862524">
        <w:t xml:space="preserve"> </w:t>
      </w:r>
      <w:r w:rsidR="00862524">
        <w:t>w</w:t>
      </w:r>
      <w:commentRangeStart w:id="6"/>
      <w:r w:rsidR="00862524">
        <w:t>ith due respect to their current options realistically available</w:t>
      </w:r>
      <w:commentRangeEnd w:id="6"/>
      <w:r w:rsidR="00313CE2">
        <w:rPr>
          <w:rStyle w:val="CommentReference"/>
        </w:rPr>
        <w:commentReference w:id="6"/>
      </w:r>
      <w:r w:rsidR="00862524">
        <w:t xml:space="preserve">, to amend certain stipulations of the Agreement in their </w:t>
      </w:r>
      <w:commentRangeStart w:id="7"/>
      <w:r w:rsidR="00862524">
        <w:t>mutual interest</w:t>
      </w:r>
      <w:commentRangeEnd w:id="7"/>
      <w:r w:rsidR="002E5BD9">
        <w:rPr>
          <w:rStyle w:val="CommentReference"/>
        </w:rPr>
        <w:commentReference w:id="7"/>
      </w:r>
      <w:r w:rsidR="00862524">
        <w:t>, for which this A</w:t>
      </w:r>
      <w:r w:rsidR="00A044AB">
        <w:t>ddendum</w:t>
      </w:r>
      <w:r w:rsidR="00862524">
        <w:t xml:space="preserve"> to the Agreement lays down in writing the changed stipulations of the Agreement agreed upon. </w:t>
      </w:r>
    </w:p>
    <w:p w14:paraId="5389EA8E" w14:textId="77777777" w:rsidR="00A559CF" w:rsidRPr="00A559CF" w:rsidRDefault="00A559CF" w:rsidP="00A559CF">
      <w:pPr>
        <w:pStyle w:val="ListParagraph"/>
      </w:pPr>
    </w:p>
    <w:p w14:paraId="6CF81E4A" w14:textId="77777777" w:rsidR="00B9399D" w:rsidRPr="00B9399D" w:rsidRDefault="008904D4" w:rsidP="00325FC3">
      <w:pPr>
        <w:pStyle w:val="ListParagraph"/>
        <w:numPr>
          <w:ilvl w:val="0"/>
          <w:numId w:val="4"/>
        </w:numPr>
        <w:autoSpaceDE w:val="0"/>
        <w:autoSpaceDN w:val="0"/>
        <w:spacing w:before="40" w:after="40" w:line="240" w:lineRule="auto"/>
      </w:pPr>
      <w:r w:rsidRPr="00B0441B">
        <w:rPr>
          <w:highlight w:val="yellow"/>
        </w:rPr>
        <w:t>[</w:t>
      </w:r>
      <w:commentRangeStart w:id="8"/>
      <w:r w:rsidRPr="00B0441B">
        <w:rPr>
          <w:highlight w:val="yellow"/>
        </w:rPr>
        <w:t xml:space="preserve">Optional in case </w:t>
      </w:r>
      <w:r w:rsidRPr="002E5BD9">
        <w:rPr>
          <w:b/>
          <w:i/>
          <w:highlight w:val="yellow"/>
        </w:rPr>
        <w:t>force majeure</w:t>
      </w:r>
      <w:r w:rsidRPr="00B0441B">
        <w:rPr>
          <w:highlight w:val="yellow"/>
        </w:rPr>
        <w:t xml:space="preserve"> clause has been </w:t>
      </w:r>
      <w:r w:rsidR="002E5BD9">
        <w:rPr>
          <w:highlight w:val="yellow"/>
        </w:rPr>
        <w:t>included in the original agreement</w:t>
      </w:r>
      <w:commentRangeEnd w:id="8"/>
      <w:r w:rsidR="002E5BD9">
        <w:rPr>
          <w:rStyle w:val="CommentReference"/>
        </w:rPr>
        <w:commentReference w:id="8"/>
      </w:r>
      <w:r w:rsidR="002E5BD9">
        <w:rPr>
          <w:highlight w:val="yellow"/>
        </w:rPr>
        <w:t>:</w:t>
      </w:r>
      <w:r w:rsidRPr="00B0441B">
        <w:rPr>
          <w:highlight w:val="yellow"/>
        </w:rPr>
        <w:t>]</w:t>
      </w:r>
      <w:r w:rsidR="00B0441B">
        <w:t xml:space="preserve"> </w:t>
      </w:r>
    </w:p>
    <w:p w14:paraId="05AEF72B" w14:textId="77777777" w:rsidR="00B9399D" w:rsidRPr="00B9399D" w:rsidRDefault="00B9399D" w:rsidP="00B9399D">
      <w:pPr>
        <w:pStyle w:val="ListParagraph"/>
      </w:pPr>
    </w:p>
    <w:p w14:paraId="244CF0E2" w14:textId="77777777" w:rsidR="002E5BD9" w:rsidRDefault="002E5BD9" w:rsidP="002E5BD9">
      <w:pPr>
        <w:autoSpaceDE w:val="0"/>
        <w:autoSpaceDN w:val="0"/>
        <w:spacing w:before="40" w:after="40" w:line="240" w:lineRule="auto"/>
        <w:ind w:firstLine="720"/>
      </w:pPr>
      <w:r w:rsidRPr="002E5BD9">
        <w:rPr>
          <w:highlight w:val="yellow"/>
        </w:rPr>
        <w:t>OR:</w:t>
      </w:r>
      <w:r>
        <w:t xml:space="preserve"> </w:t>
      </w:r>
      <w:r>
        <w:tab/>
      </w:r>
      <w:r w:rsidR="00B0441B" w:rsidRPr="002E5BD9">
        <w:t>Parties acknowledge that force majeure clauses c</w:t>
      </w:r>
      <w:r>
        <w:t xml:space="preserve">ould have been invoked, however </w:t>
      </w:r>
      <w:r>
        <w:br/>
        <w:t xml:space="preserve"> </w:t>
      </w:r>
      <w:r>
        <w:tab/>
      </w:r>
      <w:r>
        <w:tab/>
      </w:r>
      <w:r w:rsidR="00B0441B" w:rsidRPr="002E5BD9">
        <w:t>Parties agree that considerations included in this A</w:t>
      </w:r>
      <w:r w:rsidR="00A044AB">
        <w:t>ddendum</w:t>
      </w:r>
      <w:r w:rsidR="00B0441B" w:rsidRPr="002E5BD9">
        <w:t xml:space="preserve"> are in their best interests </w:t>
      </w:r>
      <w:r>
        <w:br/>
        <w:t xml:space="preserve"> </w:t>
      </w:r>
      <w:r>
        <w:tab/>
      </w:r>
      <w:r>
        <w:tab/>
      </w:r>
      <w:r w:rsidR="00B0441B" w:rsidRPr="002E5BD9">
        <w:t>and in line with arm’s length conditions.</w:t>
      </w:r>
      <w:r w:rsidR="00B9399D">
        <w:t xml:space="preserve">  </w:t>
      </w:r>
    </w:p>
    <w:p w14:paraId="36C1D3C9" w14:textId="77777777" w:rsidR="00B9399D" w:rsidRPr="002E5BD9" w:rsidRDefault="002E5BD9" w:rsidP="002E5BD9">
      <w:pPr>
        <w:autoSpaceDE w:val="0"/>
        <w:autoSpaceDN w:val="0"/>
        <w:spacing w:before="40" w:after="40" w:line="240" w:lineRule="auto"/>
        <w:ind w:left="720"/>
      </w:pPr>
      <w:r>
        <w:br/>
      </w:r>
      <w:r w:rsidRPr="002E5BD9">
        <w:rPr>
          <w:highlight w:val="yellow"/>
        </w:rPr>
        <w:t>OR:</w:t>
      </w:r>
      <w:r>
        <w:t xml:space="preserve"> </w:t>
      </w:r>
      <w:r>
        <w:tab/>
      </w:r>
      <w:r w:rsidR="00B9399D">
        <w:t xml:space="preserve">Parties </w:t>
      </w:r>
      <w:r w:rsidR="00B9399D" w:rsidRPr="00B9399D">
        <w:t>acknowledge that this</w:t>
      </w:r>
      <w:r w:rsidR="00B9399D">
        <w:t xml:space="preserve"> Covid-19 pandemic constitutes a force majeure as </w:t>
      </w:r>
      <w:r>
        <w:br/>
        <w:t xml:space="preserve"> </w:t>
      </w:r>
      <w:r>
        <w:tab/>
      </w:r>
      <w:r w:rsidR="00B9399D">
        <w:t xml:space="preserve">stipulated in the </w:t>
      </w:r>
      <w:r w:rsidR="00A044AB">
        <w:t>Agreement</w:t>
      </w:r>
      <w:r w:rsidR="00A044AB" w:rsidRPr="00B9399D">
        <w:t>, which</w:t>
      </w:r>
      <w:r>
        <w:t xml:space="preserve"> forms </w:t>
      </w:r>
      <w:r w:rsidR="00681EEA">
        <w:t>the basis on which this A</w:t>
      </w:r>
      <w:r w:rsidR="00A044AB">
        <w:t>ddendum</w:t>
      </w:r>
      <w:r w:rsidR="00681EEA">
        <w:t xml:space="preserve"> has been</w:t>
      </w:r>
      <w:r w:rsidR="00B9399D" w:rsidRPr="00B9399D">
        <w:t xml:space="preserve"> </w:t>
      </w:r>
      <w:r>
        <w:br/>
        <w:t xml:space="preserve"> </w:t>
      </w:r>
      <w:r>
        <w:tab/>
      </w:r>
      <w:r w:rsidR="00B9399D" w:rsidRPr="00B9399D">
        <w:t>prepare</w:t>
      </w:r>
      <w:r w:rsidR="00681EEA">
        <w:t>d.</w:t>
      </w:r>
    </w:p>
    <w:p w14:paraId="44E69D03" w14:textId="77777777" w:rsidR="002238DF" w:rsidRPr="0066236C" w:rsidRDefault="002238DF" w:rsidP="00D24307"/>
    <w:p w14:paraId="5E225182" w14:textId="77777777" w:rsidR="000450C2" w:rsidRDefault="002C016A" w:rsidP="00E53403">
      <w:r w:rsidRPr="00E53403">
        <w:rPr>
          <w:b/>
        </w:rPr>
        <w:t xml:space="preserve">NOW </w:t>
      </w:r>
      <w:r w:rsidR="00922014" w:rsidRPr="00E53403">
        <w:rPr>
          <w:b/>
        </w:rPr>
        <w:t>THEREFORE</w:t>
      </w:r>
      <w:r w:rsidR="00922014">
        <w:t xml:space="preserve">, </w:t>
      </w:r>
      <w:r>
        <w:t xml:space="preserve">Parties hereby </w:t>
      </w:r>
      <w:r w:rsidR="00922014">
        <w:t xml:space="preserve">agree </w:t>
      </w:r>
      <w:r w:rsidR="00862524">
        <w:t xml:space="preserve">to amend the Agreement </w:t>
      </w:r>
      <w:r w:rsidR="00922014">
        <w:t>as follows</w:t>
      </w:r>
      <w:r w:rsidR="00862524">
        <w:t>, applicable as from the Effective Date</w:t>
      </w:r>
      <w:r w:rsidR="00E53403">
        <w:t>, whereas t</w:t>
      </w:r>
      <w:r w:rsidR="00653A04">
        <w:t>he terms and conditions of the Agreement remain in force unless specified specifically below</w:t>
      </w:r>
      <w:r w:rsidR="00E53403">
        <w:t>:</w:t>
      </w:r>
    </w:p>
    <w:p w14:paraId="659DC4C3" w14:textId="77777777" w:rsidR="00653A04" w:rsidRDefault="00653A04" w:rsidP="00E53403">
      <w:pPr>
        <w:spacing w:after="0"/>
      </w:pPr>
    </w:p>
    <w:p w14:paraId="70925330" w14:textId="77777777" w:rsidR="001C3DDC" w:rsidRPr="00E75709" w:rsidRDefault="00862524" w:rsidP="000450C2">
      <w:pPr>
        <w:ind w:firstLine="720"/>
        <w:rPr>
          <w:b/>
          <w:u w:val="single"/>
        </w:rPr>
      </w:pPr>
      <w:r w:rsidRPr="00E75709">
        <w:rPr>
          <w:b/>
          <w:u w:val="single"/>
        </w:rPr>
        <w:t>AMENDED STIPULATIONS</w:t>
      </w:r>
      <w:r w:rsidR="000450C2" w:rsidRPr="00E75709">
        <w:rPr>
          <w:b/>
          <w:u w:val="single"/>
        </w:rPr>
        <w:t xml:space="preserve"> </w:t>
      </w:r>
    </w:p>
    <w:p w14:paraId="388E5D49" w14:textId="77777777" w:rsidR="002E5BD9" w:rsidRPr="002E5BD9" w:rsidRDefault="002E5BD9" w:rsidP="000450C2">
      <w:pPr>
        <w:ind w:left="720" w:firstLine="720"/>
        <w:rPr>
          <w:b/>
        </w:rPr>
      </w:pPr>
      <w:r w:rsidRPr="002E5BD9">
        <w:rPr>
          <w:b/>
        </w:rPr>
        <w:t>Article 1</w:t>
      </w:r>
    </w:p>
    <w:p w14:paraId="489D954E" w14:textId="77777777" w:rsidR="00CE00B9" w:rsidRDefault="00CE00B9" w:rsidP="000450C2">
      <w:pPr>
        <w:ind w:left="1418"/>
      </w:pPr>
      <w:r>
        <w:t>Following articles of the Agreement will cease to be applicable for the period this A</w:t>
      </w:r>
      <w:r w:rsidR="00A044AB">
        <w:t xml:space="preserve">ddendum </w:t>
      </w:r>
      <w:r>
        <w:t xml:space="preserve"> is effectively applicable, as stipulated in this A</w:t>
      </w:r>
      <w:r w:rsidR="00A044AB">
        <w:t>ddendum</w:t>
      </w:r>
      <w:r>
        <w:t xml:space="preserve"> in </w:t>
      </w:r>
      <w:r w:rsidRPr="00CE00B9">
        <w:t>Article [</w:t>
      </w:r>
      <w:commentRangeStart w:id="9"/>
      <w:r w:rsidRPr="00CE00B9">
        <w:t>•</w:t>
      </w:r>
      <w:commentRangeEnd w:id="9"/>
      <w:r w:rsidR="002E5BD9">
        <w:rPr>
          <w:rStyle w:val="CommentReference"/>
        </w:rPr>
        <w:commentReference w:id="9"/>
      </w:r>
      <w:r w:rsidRPr="00CE00B9">
        <w:t xml:space="preserve">] </w:t>
      </w:r>
    </w:p>
    <w:p w14:paraId="6075BEBB" w14:textId="77777777" w:rsidR="000450C2" w:rsidRPr="000450C2" w:rsidRDefault="00CE00B9" w:rsidP="000450C2">
      <w:pPr>
        <w:pStyle w:val="ListParagraph"/>
        <w:numPr>
          <w:ilvl w:val="1"/>
          <w:numId w:val="9"/>
        </w:numPr>
        <w:ind w:left="1843" w:hanging="426"/>
      </w:pPr>
      <w:r>
        <w:t>Article [</w:t>
      </w:r>
      <w:commentRangeStart w:id="10"/>
      <w:r>
        <w:rPr>
          <w:rFonts w:cstheme="minorHAnsi"/>
        </w:rPr>
        <w:t>•</w:t>
      </w:r>
      <w:commentRangeEnd w:id="10"/>
      <w:r w:rsidR="002E5BD9">
        <w:rPr>
          <w:rStyle w:val="CommentReference"/>
        </w:rPr>
        <w:commentReference w:id="10"/>
      </w:r>
      <w:r>
        <w:rPr>
          <w:rFonts w:cstheme="minorHAnsi"/>
        </w:rPr>
        <w:t>]</w:t>
      </w:r>
      <w:r w:rsidR="002E5BD9">
        <w:rPr>
          <w:rFonts w:cstheme="minorHAnsi"/>
        </w:rPr>
        <w:t xml:space="preserve"> of the Agreement</w:t>
      </w:r>
      <w:r w:rsidR="00326C25">
        <w:rPr>
          <w:rFonts w:cstheme="minorHAnsi"/>
        </w:rPr>
        <w:t xml:space="preserve"> </w:t>
      </w:r>
      <w:r w:rsidR="00326C25" w:rsidRPr="00326C25">
        <w:rPr>
          <w:rFonts w:cstheme="minorHAnsi"/>
          <w:highlight w:val="yellow"/>
        </w:rPr>
        <w:t>[if applicable:</w:t>
      </w:r>
      <w:r w:rsidR="00326C25">
        <w:rPr>
          <w:rFonts w:cstheme="minorHAnsi"/>
        </w:rPr>
        <w:t xml:space="preserve"> , and rep</w:t>
      </w:r>
      <w:r w:rsidR="000450C2">
        <w:rPr>
          <w:rFonts w:cstheme="minorHAnsi"/>
        </w:rPr>
        <w:t>l</w:t>
      </w:r>
      <w:r w:rsidR="00326C25">
        <w:rPr>
          <w:rFonts w:cstheme="minorHAnsi"/>
        </w:rPr>
        <w:t xml:space="preserve">aced by Article </w:t>
      </w:r>
      <w:r w:rsidR="00326C25">
        <w:t>[</w:t>
      </w:r>
      <w:r w:rsidR="00326C25" w:rsidRPr="002E5BD9">
        <w:rPr>
          <w:rFonts w:cstheme="minorHAnsi"/>
        </w:rPr>
        <w:t>•]</w:t>
      </w:r>
      <w:r w:rsidR="00326C25">
        <w:rPr>
          <w:rFonts w:cstheme="minorHAnsi"/>
        </w:rPr>
        <w:t xml:space="preserve"> </w:t>
      </w:r>
      <w:r w:rsidR="000450C2">
        <w:rPr>
          <w:rFonts w:cstheme="minorHAnsi"/>
        </w:rPr>
        <w:t>of this A</w:t>
      </w:r>
      <w:r w:rsidR="00A044AB">
        <w:rPr>
          <w:rFonts w:cstheme="minorHAnsi"/>
        </w:rPr>
        <w:t>ddendum</w:t>
      </w:r>
      <w:r w:rsidR="000450C2">
        <w:rPr>
          <w:rFonts w:cstheme="minorHAnsi"/>
        </w:rPr>
        <w:t>]</w:t>
      </w:r>
      <w:r w:rsidR="00326C25">
        <w:rPr>
          <w:rFonts w:cstheme="minorHAnsi"/>
        </w:rPr>
        <w:t xml:space="preserve"> </w:t>
      </w:r>
    </w:p>
    <w:p w14:paraId="2022ED45" w14:textId="77777777" w:rsidR="000450C2" w:rsidRPr="000450C2" w:rsidRDefault="00CE00B9" w:rsidP="000450C2">
      <w:pPr>
        <w:pStyle w:val="ListParagraph"/>
        <w:numPr>
          <w:ilvl w:val="1"/>
          <w:numId w:val="9"/>
        </w:numPr>
        <w:ind w:left="1843" w:hanging="426"/>
      </w:pPr>
      <w:r>
        <w:t>Article [</w:t>
      </w:r>
      <w:r w:rsidRPr="000450C2">
        <w:rPr>
          <w:rFonts w:cstheme="minorHAnsi"/>
        </w:rPr>
        <w:t>•]</w:t>
      </w:r>
      <w:r w:rsidR="002E5BD9" w:rsidRPr="000450C2">
        <w:rPr>
          <w:rFonts w:cstheme="minorHAnsi"/>
        </w:rPr>
        <w:t xml:space="preserve"> of the Agreement</w:t>
      </w:r>
    </w:p>
    <w:p w14:paraId="76F521AA" w14:textId="77777777" w:rsidR="00CE00B9" w:rsidRPr="000450C2" w:rsidRDefault="00CE00B9" w:rsidP="000450C2">
      <w:pPr>
        <w:pStyle w:val="ListParagraph"/>
        <w:numPr>
          <w:ilvl w:val="1"/>
          <w:numId w:val="9"/>
        </w:numPr>
        <w:ind w:left="1843" w:hanging="426"/>
      </w:pPr>
      <w:r>
        <w:t>Article [</w:t>
      </w:r>
      <w:r w:rsidRPr="000450C2">
        <w:rPr>
          <w:rFonts w:cstheme="minorHAnsi"/>
        </w:rPr>
        <w:t>•]</w:t>
      </w:r>
      <w:r w:rsidR="002E5BD9" w:rsidRPr="000450C2">
        <w:rPr>
          <w:rFonts w:cstheme="minorHAnsi"/>
        </w:rPr>
        <w:t xml:space="preserve"> of the Agreement</w:t>
      </w:r>
    </w:p>
    <w:p w14:paraId="35198067" w14:textId="77777777" w:rsidR="000450C2" w:rsidRPr="00CE00B9" w:rsidRDefault="000450C2" w:rsidP="000450C2">
      <w:pPr>
        <w:pStyle w:val="ListParagraph"/>
        <w:numPr>
          <w:ilvl w:val="1"/>
          <w:numId w:val="9"/>
        </w:numPr>
        <w:ind w:left="1843" w:hanging="426"/>
      </w:pPr>
      <w:r>
        <w:rPr>
          <w:rFonts w:cstheme="minorHAnsi"/>
        </w:rPr>
        <w:t>Etc.</w:t>
      </w:r>
    </w:p>
    <w:p w14:paraId="2E5FBCD2" w14:textId="77777777" w:rsidR="000450C2" w:rsidRDefault="000450C2" w:rsidP="000450C2">
      <w:pPr>
        <w:ind w:left="697" w:firstLine="720"/>
        <w:rPr>
          <w:b/>
        </w:rPr>
      </w:pPr>
    </w:p>
    <w:p w14:paraId="29DB901E" w14:textId="77777777" w:rsidR="000450C2" w:rsidRDefault="000450C2" w:rsidP="000450C2">
      <w:pPr>
        <w:ind w:left="697" w:firstLine="720"/>
        <w:rPr>
          <w:b/>
        </w:rPr>
      </w:pPr>
    </w:p>
    <w:p w14:paraId="6734A1D8" w14:textId="77777777" w:rsidR="000450C2" w:rsidRDefault="002E5BD9" w:rsidP="000450C2">
      <w:pPr>
        <w:ind w:left="697" w:firstLine="720"/>
        <w:rPr>
          <w:b/>
        </w:rPr>
      </w:pPr>
      <w:r w:rsidRPr="002E5BD9">
        <w:rPr>
          <w:b/>
        </w:rPr>
        <w:t>Article 2</w:t>
      </w:r>
    </w:p>
    <w:p w14:paraId="6931B83A" w14:textId="77777777" w:rsidR="00CE00B9" w:rsidRPr="000450C2" w:rsidRDefault="00CE00B9" w:rsidP="000450C2">
      <w:pPr>
        <w:ind w:left="1417"/>
        <w:rPr>
          <w:b/>
        </w:rPr>
      </w:pPr>
      <w:r>
        <w:t>Following articles will be applicable for the perio</w:t>
      </w:r>
      <w:r w:rsidR="000450C2">
        <w:t>d this A</w:t>
      </w:r>
      <w:r w:rsidR="00A044AB">
        <w:t>ddendum</w:t>
      </w:r>
      <w:r w:rsidR="000450C2">
        <w:t xml:space="preserve"> is </w:t>
      </w:r>
      <w:r w:rsidR="00954B0C">
        <w:t>effectively applicable</w:t>
      </w:r>
      <w:r>
        <w:t>, as stipulated in this A</w:t>
      </w:r>
      <w:r w:rsidR="00A044AB">
        <w:t>ddendum</w:t>
      </w:r>
      <w:r>
        <w:t xml:space="preserve"> in </w:t>
      </w:r>
      <w:r w:rsidRPr="00CE00B9">
        <w:t>Article [•]</w:t>
      </w:r>
      <w:commentRangeStart w:id="11"/>
      <w:r>
        <w:t>:</w:t>
      </w:r>
      <w:commentRangeEnd w:id="11"/>
      <w:r w:rsidR="00572E5D">
        <w:rPr>
          <w:rStyle w:val="CommentReference"/>
        </w:rPr>
        <w:commentReference w:id="11"/>
      </w:r>
    </w:p>
    <w:p w14:paraId="33758454" w14:textId="77777777" w:rsidR="00CE00B9" w:rsidRDefault="00CE00B9" w:rsidP="00CE00B9">
      <w:pPr>
        <w:pStyle w:val="ListParagraph"/>
        <w:ind w:left="1080"/>
      </w:pPr>
    </w:p>
    <w:p w14:paraId="3E625CA3" w14:textId="77777777" w:rsidR="000450C2" w:rsidRDefault="00F310C0" w:rsidP="000450C2">
      <w:pPr>
        <w:pStyle w:val="ListParagraph"/>
        <w:numPr>
          <w:ilvl w:val="1"/>
          <w:numId w:val="6"/>
        </w:numPr>
        <w:ind w:left="1792"/>
        <w:rPr>
          <w:color w:val="7F7F7F" w:themeColor="text1" w:themeTint="80"/>
        </w:rPr>
      </w:pPr>
      <w:r w:rsidRPr="000450C2">
        <w:rPr>
          <w:color w:val="7F7F7F" w:themeColor="text1" w:themeTint="80"/>
        </w:rPr>
        <w:t>P</w:t>
      </w:r>
      <w:r w:rsidR="002E5BD9" w:rsidRPr="000450C2">
        <w:rPr>
          <w:color w:val="7F7F7F" w:themeColor="text1" w:themeTint="80"/>
        </w:rPr>
        <w:t xml:space="preserve">RICING - </w:t>
      </w:r>
      <w:r w:rsidR="00A03B90" w:rsidRPr="000450C2">
        <w:rPr>
          <w:color w:val="7F7F7F" w:themeColor="text1" w:themeTint="80"/>
        </w:rPr>
        <w:t>Party 1</w:t>
      </w:r>
      <w:r w:rsidR="006E7184" w:rsidRPr="000450C2">
        <w:rPr>
          <w:color w:val="7F7F7F" w:themeColor="text1" w:themeTint="80"/>
        </w:rPr>
        <w:t xml:space="preserve"> will no longer be entitled to its stable routine remuneration as determined in the Agreement. As of the Effective Date, </w:t>
      </w:r>
      <w:r w:rsidR="00644768" w:rsidRPr="000450C2">
        <w:rPr>
          <w:color w:val="7F7F7F" w:themeColor="text1" w:themeTint="80"/>
        </w:rPr>
        <w:t>Parties agree</w:t>
      </w:r>
      <w:r w:rsidR="000450C2" w:rsidRPr="000450C2">
        <w:rPr>
          <w:color w:val="7F7F7F" w:themeColor="text1" w:themeTint="80"/>
        </w:rPr>
        <w:t xml:space="preserve"> in line with the arm’s length principle and prevailing circumstances,</w:t>
      </w:r>
      <w:r w:rsidR="00644768" w:rsidRPr="000450C2">
        <w:rPr>
          <w:color w:val="7F7F7F" w:themeColor="text1" w:themeTint="80"/>
        </w:rPr>
        <w:t xml:space="preserve"> that </w:t>
      </w:r>
      <w:r w:rsidR="001F3CA4" w:rsidRPr="000450C2">
        <w:rPr>
          <w:color w:val="7F7F7F" w:themeColor="text1" w:themeTint="80"/>
        </w:rPr>
        <w:t xml:space="preserve">Party 1 will be remunerated </w:t>
      </w:r>
      <w:r w:rsidR="009B6182" w:rsidRPr="000450C2">
        <w:rPr>
          <w:color w:val="7F7F7F" w:themeColor="text1" w:themeTint="80"/>
        </w:rPr>
        <w:t>as follows:</w:t>
      </w:r>
      <w:r w:rsidR="00FE23B8" w:rsidRPr="000450C2">
        <w:rPr>
          <w:color w:val="7F7F7F" w:themeColor="text1" w:themeTint="80"/>
        </w:rPr>
        <w:t xml:space="preserve"> </w:t>
      </w:r>
    </w:p>
    <w:p w14:paraId="5E88B60D" w14:textId="77777777" w:rsidR="000450C2" w:rsidRDefault="0042446C" w:rsidP="000450C2">
      <w:pPr>
        <w:pStyle w:val="ListParagraph"/>
        <w:numPr>
          <w:ilvl w:val="2"/>
          <w:numId w:val="6"/>
        </w:numPr>
        <w:rPr>
          <w:color w:val="7F7F7F" w:themeColor="text1" w:themeTint="80"/>
        </w:rPr>
      </w:pPr>
      <w:r w:rsidRPr="000450C2">
        <w:rPr>
          <w:color w:val="7F7F7F" w:themeColor="text1" w:themeTint="80"/>
        </w:rPr>
        <w:t xml:space="preserve">Only costs will be remunerated in order to ensure </w:t>
      </w:r>
      <w:r w:rsidR="003A408D" w:rsidRPr="000450C2">
        <w:rPr>
          <w:color w:val="7F7F7F" w:themeColor="text1" w:themeTint="80"/>
        </w:rPr>
        <w:t>that Party 1 will reach a level of break-eve</w:t>
      </w:r>
      <w:r w:rsidR="00EA2749" w:rsidRPr="000450C2">
        <w:rPr>
          <w:color w:val="7F7F7F" w:themeColor="text1" w:themeTint="80"/>
        </w:rPr>
        <w:t>n</w:t>
      </w:r>
      <w:r w:rsidR="00E75709">
        <w:rPr>
          <w:color w:val="7F7F7F" w:themeColor="text1" w:themeTint="80"/>
        </w:rPr>
        <w:t xml:space="preserve"> (ex-post)</w:t>
      </w:r>
      <w:r w:rsidR="00D20A2D">
        <w:rPr>
          <w:color w:val="7F7F7F" w:themeColor="text1" w:themeTint="80"/>
        </w:rPr>
        <w:t xml:space="preserve"> at the end of financial year </w:t>
      </w:r>
      <w:r w:rsidR="00D20A2D" w:rsidRPr="000450C2">
        <w:rPr>
          <w:color w:val="7F7F7F" w:themeColor="text1" w:themeTint="80"/>
        </w:rPr>
        <w:t>[•]</w:t>
      </w:r>
    </w:p>
    <w:p w14:paraId="3DBCEC96" w14:textId="77777777" w:rsidR="000450C2" w:rsidRDefault="00BC1987" w:rsidP="000450C2">
      <w:pPr>
        <w:pStyle w:val="ListParagraph"/>
        <w:numPr>
          <w:ilvl w:val="2"/>
          <w:numId w:val="6"/>
        </w:numPr>
        <w:rPr>
          <w:color w:val="7F7F7F" w:themeColor="text1" w:themeTint="80"/>
        </w:rPr>
      </w:pPr>
      <w:r w:rsidRPr="000450C2">
        <w:rPr>
          <w:color w:val="7F7F7F" w:themeColor="text1" w:themeTint="80"/>
        </w:rPr>
        <w:t xml:space="preserve">Party </w:t>
      </w:r>
      <w:r w:rsidR="00FE23B8" w:rsidRPr="000450C2">
        <w:rPr>
          <w:color w:val="7F7F7F" w:themeColor="text1" w:themeTint="80"/>
        </w:rPr>
        <w:t>1 will</w:t>
      </w:r>
      <w:r w:rsidR="00352701" w:rsidRPr="000450C2">
        <w:rPr>
          <w:color w:val="7F7F7F" w:themeColor="text1" w:themeTint="80"/>
        </w:rPr>
        <w:t xml:space="preserve"> </w:t>
      </w:r>
      <w:r w:rsidR="00B63BBB" w:rsidRPr="000450C2">
        <w:rPr>
          <w:color w:val="7F7F7F" w:themeColor="text1" w:themeTint="80"/>
        </w:rPr>
        <w:t>incur certain level of losses determined based on [•]</w:t>
      </w:r>
    </w:p>
    <w:p w14:paraId="13CD047F" w14:textId="77777777" w:rsidR="000450C2" w:rsidRPr="000450C2" w:rsidRDefault="000450C2" w:rsidP="000450C2">
      <w:pPr>
        <w:pStyle w:val="ListParagraph"/>
        <w:numPr>
          <w:ilvl w:val="2"/>
          <w:numId w:val="6"/>
        </w:numPr>
        <w:rPr>
          <w:color w:val="7F7F7F" w:themeColor="text1" w:themeTint="80"/>
        </w:rPr>
      </w:pPr>
      <w:r w:rsidRPr="000450C2">
        <w:rPr>
          <w:color w:val="7F7F7F" w:themeColor="text1" w:themeTint="80"/>
        </w:rPr>
        <w:t>Etc.</w:t>
      </w:r>
    </w:p>
    <w:p w14:paraId="3B3232FC" w14:textId="77777777" w:rsidR="000450C2" w:rsidRDefault="000450C2" w:rsidP="000450C2">
      <w:pPr>
        <w:pStyle w:val="ListParagraph"/>
        <w:numPr>
          <w:ilvl w:val="1"/>
          <w:numId w:val="6"/>
        </w:numPr>
        <w:ind w:left="1792"/>
        <w:rPr>
          <w:color w:val="7F7F7F" w:themeColor="text1" w:themeTint="80"/>
        </w:rPr>
      </w:pPr>
      <w:r w:rsidRPr="000450C2">
        <w:rPr>
          <w:color w:val="7F7F7F" w:themeColor="text1" w:themeTint="80"/>
        </w:rPr>
        <w:t>PAYMENT TERMS - Parties agree</w:t>
      </w:r>
      <w:r w:rsidR="00E75709">
        <w:rPr>
          <w:color w:val="7F7F7F" w:themeColor="text1" w:themeTint="80"/>
        </w:rPr>
        <w:t xml:space="preserve"> </w:t>
      </w:r>
      <w:r w:rsidR="00E75709" w:rsidRPr="000450C2">
        <w:rPr>
          <w:color w:val="7F7F7F" w:themeColor="text1" w:themeTint="80"/>
        </w:rPr>
        <w:t>in line with the arm’s length principle and prevailing circumstances</w:t>
      </w:r>
      <w:r w:rsidR="00E75709">
        <w:rPr>
          <w:color w:val="7F7F7F" w:themeColor="text1" w:themeTint="80"/>
        </w:rPr>
        <w:t>,</w:t>
      </w:r>
      <w:r w:rsidRPr="000450C2">
        <w:rPr>
          <w:color w:val="7F7F7F" w:themeColor="text1" w:themeTint="80"/>
        </w:rPr>
        <w:t xml:space="preserve"> that payment terms are as follows:</w:t>
      </w:r>
    </w:p>
    <w:p w14:paraId="0FDAC5E4" w14:textId="77777777" w:rsidR="000450C2" w:rsidRPr="000450C2" w:rsidRDefault="000450C2" w:rsidP="000450C2">
      <w:pPr>
        <w:pStyle w:val="ListParagraph"/>
        <w:numPr>
          <w:ilvl w:val="2"/>
          <w:numId w:val="6"/>
        </w:numPr>
        <w:rPr>
          <w:color w:val="7F7F7F" w:themeColor="text1" w:themeTint="80"/>
        </w:rPr>
      </w:pPr>
      <w:r w:rsidRPr="000450C2">
        <w:rPr>
          <w:color w:val="7F7F7F" w:themeColor="text1" w:themeTint="80"/>
        </w:rPr>
        <w:t>[</w:t>
      </w:r>
      <w:r w:rsidRPr="000450C2">
        <w:rPr>
          <w:rFonts w:cstheme="minorHAnsi"/>
          <w:color w:val="7F7F7F" w:themeColor="text1" w:themeTint="80"/>
        </w:rPr>
        <w:t xml:space="preserve">•] days </w:t>
      </w:r>
    </w:p>
    <w:p w14:paraId="56E67539" w14:textId="77777777" w:rsidR="000450C2" w:rsidRDefault="000450C2" w:rsidP="000450C2">
      <w:pPr>
        <w:pStyle w:val="ListParagraph"/>
        <w:numPr>
          <w:ilvl w:val="2"/>
          <w:numId w:val="6"/>
        </w:numPr>
        <w:rPr>
          <w:color w:val="7F7F7F" w:themeColor="text1" w:themeTint="80"/>
        </w:rPr>
      </w:pPr>
      <w:r w:rsidRPr="000450C2">
        <w:rPr>
          <w:color w:val="7F7F7F" w:themeColor="text1" w:themeTint="80"/>
        </w:rPr>
        <w:t>Extended until the termination of this A</w:t>
      </w:r>
      <w:r w:rsidR="00A044AB">
        <w:rPr>
          <w:color w:val="7F7F7F" w:themeColor="text1" w:themeTint="80"/>
        </w:rPr>
        <w:t>ddendum</w:t>
      </w:r>
    </w:p>
    <w:p w14:paraId="622BEACA" w14:textId="77777777" w:rsidR="00E75709" w:rsidRDefault="00E75709" w:rsidP="000450C2">
      <w:pPr>
        <w:pStyle w:val="ListParagraph"/>
        <w:numPr>
          <w:ilvl w:val="2"/>
          <w:numId w:val="6"/>
        </w:numPr>
        <w:rPr>
          <w:color w:val="7F7F7F" w:themeColor="text1" w:themeTint="80"/>
        </w:rPr>
      </w:pPr>
      <w:r>
        <w:rPr>
          <w:color w:val="7F7F7F" w:themeColor="text1" w:themeTint="80"/>
        </w:rPr>
        <w:t>Etc.</w:t>
      </w:r>
    </w:p>
    <w:p w14:paraId="49DB347A" w14:textId="77777777" w:rsidR="000450C2" w:rsidRPr="00E75709" w:rsidRDefault="000450C2" w:rsidP="000450C2">
      <w:pPr>
        <w:pStyle w:val="ListParagraph"/>
        <w:numPr>
          <w:ilvl w:val="1"/>
          <w:numId w:val="6"/>
        </w:numPr>
        <w:ind w:left="1792"/>
        <w:rPr>
          <w:color w:val="7F7F7F" w:themeColor="text1" w:themeTint="80"/>
        </w:rPr>
      </w:pPr>
      <w:r w:rsidRPr="000450C2">
        <w:rPr>
          <w:color w:val="7F7F7F" w:themeColor="text1" w:themeTint="80"/>
        </w:rPr>
        <w:t>P</w:t>
      </w:r>
      <w:r w:rsidR="00E75709" w:rsidRPr="00E75709">
        <w:rPr>
          <w:color w:val="7F7F7F" w:themeColor="text1" w:themeTint="80"/>
        </w:rPr>
        <w:t>RE-FINANCING</w:t>
      </w:r>
      <w:r w:rsidRPr="00E75709">
        <w:rPr>
          <w:color w:val="7F7F7F" w:themeColor="text1" w:themeTint="80"/>
        </w:rPr>
        <w:t xml:space="preserve"> - Parties agree</w:t>
      </w:r>
      <w:r w:rsidR="00E75709" w:rsidRPr="00E75709">
        <w:rPr>
          <w:color w:val="7F7F7F" w:themeColor="text1" w:themeTint="80"/>
        </w:rPr>
        <w:t xml:space="preserve">, in line with the arm’s length principle and prevailing circumstances, </w:t>
      </w:r>
      <w:r w:rsidRPr="00E75709">
        <w:rPr>
          <w:color w:val="7F7F7F" w:themeColor="text1" w:themeTint="80"/>
        </w:rPr>
        <w:t xml:space="preserve">that </w:t>
      </w:r>
      <w:r w:rsidR="00E75709" w:rsidRPr="00E75709">
        <w:rPr>
          <w:color w:val="7F7F7F" w:themeColor="text1" w:themeTint="80"/>
        </w:rPr>
        <w:t>in consideration of the incremental working capital requirements of Party 2, Party 1 will:</w:t>
      </w:r>
    </w:p>
    <w:p w14:paraId="79791824" w14:textId="77777777" w:rsidR="00E75709" w:rsidRPr="00E75709" w:rsidRDefault="00E75709" w:rsidP="00E75709">
      <w:pPr>
        <w:pStyle w:val="ListParagraph"/>
        <w:numPr>
          <w:ilvl w:val="2"/>
          <w:numId w:val="6"/>
        </w:numPr>
        <w:rPr>
          <w:color w:val="7F7F7F" w:themeColor="text1" w:themeTint="80"/>
        </w:rPr>
      </w:pPr>
      <w:r w:rsidRPr="00E75709">
        <w:rPr>
          <w:color w:val="7F7F7F" w:themeColor="text1" w:themeTint="80"/>
        </w:rPr>
        <w:t>Make available pre-financing … for which no interest payments are due given the overall reviewed pricing arrangement as stipulated in article 2.1 of this A</w:t>
      </w:r>
      <w:r w:rsidR="00A044AB">
        <w:rPr>
          <w:color w:val="7F7F7F" w:themeColor="text1" w:themeTint="80"/>
        </w:rPr>
        <w:t>ddendum</w:t>
      </w:r>
    </w:p>
    <w:p w14:paraId="35A00587" w14:textId="77777777" w:rsidR="00F14BF4" w:rsidRPr="00E75709" w:rsidRDefault="00F14BF4" w:rsidP="00E75709">
      <w:pPr>
        <w:pStyle w:val="ListParagraph"/>
        <w:numPr>
          <w:ilvl w:val="2"/>
          <w:numId w:val="6"/>
        </w:numPr>
        <w:rPr>
          <w:color w:val="7F7F7F" w:themeColor="text1" w:themeTint="80"/>
        </w:rPr>
      </w:pPr>
      <w:r w:rsidRPr="00E75709">
        <w:rPr>
          <w:color w:val="7F7F7F" w:themeColor="text1" w:themeTint="80"/>
        </w:rPr>
        <w:t xml:space="preserve">Repayment is made over time by means of the transfer pricing policy as applied between both parties. </w:t>
      </w:r>
    </w:p>
    <w:p w14:paraId="5700EDF9" w14:textId="77777777" w:rsidR="00E75709" w:rsidRDefault="00E75709" w:rsidP="00E75709">
      <w:pPr>
        <w:pStyle w:val="ListParagraph"/>
        <w:numPr>
          <w:ilvl w:val="2"/>
          <w:numId w:val="6"/>
        </w:numPr>
        <w:rPr>
          <w:color w:val="7F7F7F" w:themeColor="text1" w:themeTint="80"/>
        </w:rPr>
      </w:pPr>
      <w:r w:rsidRPr="00E75709">
        <w:rPr>
          <w:color w:val="7F7F7F" w:themeColor="text1" w:themeTint="80"/>
        </w:rPr>
        <w:t>Etc.</w:t>
      </w:r>
    </w:p>
    <w:p w14:paraId="59B652CE" w14:textId="77777777" w:rsidR="00E26634" w:rsidRDefault="00E75709" w:rsidP="00E75709">
      <w:pPr>
        <w:pStyle w:val="ListParagraph"/>
        <w:numPr>
          <w:ilvl w:val="1"/>
          <w:numId w:val="6"/>
        </w:numPr>
        <w:ind w:left="1792"/>
        <w:rPr>
          <w:color w:val="7F7F7F" w:themeColor="text1" w:themeTint="80"/>
        </w:rPr>
      </w:pPr>
      <w:r>
        <w:rPr>
          <w:color w:val="7F7F7F" w:themeColor="text1" w:themeTint="80"/>
        </w:rPr>
        <w:t>VOLUME / DEMAND &amp; DELIVERY – In contrast to the level of volume / demand as agreed upon in the Agreement, Parties agree, in line with the arm’s length principle and prevailing circumstances, that:</w:t>
      </w:r>
    </w:p>
    <w:p w14:paraId="42939183" w14:textId="77777777" w:rsidR="00E75709" w:rsidRDefault="00E75709" w:rsidP="00E75709">
      <w:pPr>
        <w:pStyle w:val="ListParagraph"/>
        <w:numPr>
          <w:ilvl w:val="2"/>
          <w:numId w:val="6"/>
        </w:numPr>
        <w:rPr>
          <w:color w:val="7F7F7F" w:themeColor="text1" w:themeTint="80"/>
        </w:rPr>
      </w:pPr>
      <w:r>
        <w:rPr>
          <w:color w:val="7F7F7F" w:themeColor="text1" w:themeTint="80"/>
        </w:rPr>
        <w:t>The failure of not reaching aforementioned committed levels will not constitute a breach of obligations for the respective party</w:t>
      </w:r>
    </w:p>
    <w:p w14:paraId="32421EEA" w14:textId="77777777" w:rsidR="00E75709" w:rsidRPr="00E75709" w:rsidRDefault="00E75709" w:rsidP="00E75709">
      <w:pPr>
        <w:pStyle w:val="ListParagraph"/>
        <w:numPr>
          <w:ilvl w:val="2"/>
          <w:numId w:val="6"/>
        </w:numPr>
        <w:rPr>
          <w:color w:val="7F7F7F" w:themeColor="text1" w:themeTint="80"/>
        </w:rPr>
      </w:pPr>
      <w:r w:rsidRPr="00E75709">
        <w:rPr>
          <w:color w:val="7F7F7F" w:themeColor="text1" w:themeTint="80"/>
        </w:rPr>
        <w:t xml:space="preserve">Consistent with the aforementioned, the same applies to the non-delivery of goods due to the Covid-19 pandemic which will not constitute a breach of obligations for the respective Party. </w:t>
      </w:r>
    </w:p>
    <w:p w14:paraId="2DA8C60F" w14:textId="77777777" w:rsidR="00E75709" w:rsidRPr="00E75709" w:rsidRDefault="00E75709" w:rsidP="00E75709">
      <w:pPr>
        <w:pStyle w:val="ListParagraph"/>
        <w:numPr>
          <w:ilvl w:val="2"/>
          <w:numId w:val="6"/>
        </w:numPr>
        <w:rPr>
          <w:color w:val="7F7F7F" w:themeColor="text1" w:themeTint="80"/>
        </w:rPr>
      </w:pPr>
      <w:r>
        <w:rPr>
          <w:color w:val="7F7F7F" w:themeColor="text1" w:themeTint="80"/>
        </w:rPr>
        <w:t xml:space="preserve">The committed level will be reduced to </w:t>
      </w:r>
      <w:r w:rsidRPr="000450C2">
        <w:rPr>
          <w:color w:val="7F7F7F" w:themeColor="text1" w:themeTint="80"/>
        </w:rPr>
        <w:t>[</w:t>
      </w:r>
      <w:r w:rsidRPr="000450C2">
        <w:rPr>
          <w:rFonts w:cstheme="minorHAnsi"/>
          <w:color w:val="7F7F7F" w:themeColor="text1" w:themeTint="80"/>
        </w:rPr>
        <w:t>•]</w:t>
      </w:r>
    </w:p>
    <w:p w14:paraId="3EC2F921" w14:textId="77777777" w:rsidR="00E75709" w:rsidRDefault="00E75709" w:rsidP="00E75709">
      <w:pPr>
        <w:pStyle w:val="ListParagraph"/>
        <w:numPr>
          <w:ilvl w:val="2"/>
          <w:numId w:val="6"/>
        </w:numPr>
        <w:rPr>
          <w:color w:val="7F7F7F" w:themeColor="text1" w:themeTint="80"/>
        </w:rPr>
      </w:pPr>
      <w:r>
        <w:rPr>
          <w:rFonts w:cstheme="minorHAnsi"/>
          <w:color w:val="7F7F7F" w:themeColor="text1" w:themeTint="80"/>
        </w:rPr>
        <w:t>Etc.</w:t>
      </w:r>
    </w:p>
    <w:p w14:paraId="58DC2BFF" w14:textId="77777777" w:rsidR="00C31F54" w:rsidRDefault="00C31F54" w:rsidP="00C31F54">
      <w:pPr>
        <w:pStyle w:val="ListParagraph"/>
        <w:ind w:left="360"/>
      </w:pPr>
    </w:p>
    <w:p w14:paraId="1190BAA5" w14:textId="77777777" w:rsidR="00332DE4" w:rsidRPr="00332DE4" w:rsidRDefault="00332DE4" w:rsidP="00332DE4">
      <w:pPr>
        <w:pStyle w:val="ListParagraph"/>
        <w:numPr>
          <w:ilvl w:val="0"/>
          <w:numId w:val="8"/>
        </w:numPr>
        <w:rPr>
          <w:vanish/>
        </w:rPr>
      </w:pPr>
    </w:p>
    <w:p w14:paraId="7854F9B8" w14:textId="77777777" w:rsidR="00E11D3D" w:rsidRDefault="00E11D3D" w:rsidP="00E11D3D">
      <w:pPr>
        <w:pStyle w:val="ListParagraph"/>
        <w:ind w:left="360"/>
      </w:pPr>
    </w:p>
    <w:p w14:paraId="6EFD075F" w14:textId="77777777" w:rsidR="00E75709" w:rsidRDefault="00E75709" w:rsidP="00CE00B9">
      <w:pPr>
        <w:pStyle w:val="ListParagraph"/>
        <w:ind w:left="360"/>
      </w:pPr>
    </w:p>
    <w:p w14:paraId="7C10A757" w14:textId="77777777" w:rsidR="00E75709" w:rsidRDefault="00E75709" w:rsidP="00CE00B9">
      <w:pPr>
        <w:pStyle w:val="ListParagraph"/>
        <w:ind w:left="360"/>
      </w:pPr>
    </w:p>
    <w:p w14:paraId="25F0C119" w14:textId="77777777" w:rsidR="00E75709" w:rsidRDefault="00E75709" w:rsidP="00CE00B9">
      <w:pPr>
        <w:pStyle w:val="ListParagraph"/>
        <w:ind w:left="360"/>
      </w:pPr>
    </w:p>
    <w:p w14:paraId="202CA5BD" w14:textId="77777777" w:rsidR="0093189C" w:rsidRPr="00E75709" w:rsidRDefault="00CE00B9" w:rsidP="00E75709">
      <w:pPr>
        <w:pStyle w:val="ListParagraph"/>
        <w:ind w:left="360" w:firstLine="337"/>
        <w:rPr>
          <w:b/>
          <w:u w:val="single"/>
        </w:rPr>
      </w:pPr>
      <w:r w:rsidRPr="00E75709">
        <w:rPr>
          <w:b/>
          <w:u w:val="single"/>
        </w:rPr>
        <w:t xml:space="preserve">TERM AND TERMINATION OF THE </w:t>
      </w:r>
      <w:r w:rsidR="00A044AB">
        <w:rPr>
          <w:b/>
          <w:u w:val="single"/>
        </w:rPr>
        <w:t>ADDENDUM</w:t>
      </w:r>
    </w:p>
    <w:p w14:paraId="6BDF0C57" w14:textId="77777777" w:rsidR="00E75709" w:rsidRDefault="00E75709" w:rsidP="00CE00B9">
      <w:pPr>
        <w:pStyle w:val="ListParagraph"/>
        <w:ind w:left="360"/>
      </w:pPr>
    </w:p>
    <w:p w14:paraId="66E946C9" w14:textId="77777777" w:rsidR="00E75709" w:rsidRDefault="00E75709" w:rsidP="00E75709">
      <w:pPr>
        <w:ind w:left="697" w:firstLine="720"/>
        <w:rPr>
          <w:b/>
        </w:rPr>
      </w:pPr>
      <w:r w:rsidRPr="002E5BD9">
        <w:rPr>
          <w:b/>
        </w:rPr>
        <w:t xml:space="preserve">Article </w:t>
      </w:r>
      <w:r>
        <w:rPr>
          <w:b/>
        </w:rPr>
        <w:t>3</w:t>
      </w:r>
    </w:p>
    <w:p w14:paraId="1E4D7D7D" w14:textId="77777777" w:rsidR="002F6799" w:rsidRPr="002F6799" w:rsidRDefault="002F6799" w:rsidP="002F6799">
      <w:pPr>
        <w:pStyle w:val="ListParagraph"/>
        <w:numPr>
          <w:ilvl w:val="0"/>
          <w:numId w:val="7"/>
        </w:numPr>
        <w:rPr>
          <w:vanish/>
        </w:rPr>
      </w:pPr>
    </w:p>
    <w:p w14:paraId="1DD3F08A" w14:textId="77777777" w:rsidR="002F6799" w:rsidRPr="002F6799" w:rsidRDefault="002F6799" w:rsidP="002F6799">
      <w:pPr>
        <w:pStyle w:val="ListParagraph"/>
        <w:numPr>
          <w:ilvl w:val="0"/>
          <w:numId w:val="7"/>
        </w:numPr>
        <w:rPr>
          <w:vanish/>
        </w:rPr>
      </w:pPr>
    </w:p>
    <w:p w14:paraId="66BFA696" w14:textId="77777777" w:rsidR="002F6799" w:rsidRPr="002F6799" w:rsidRDefault="002F6799" w:rsidP="002F6799">
      <w:pPr>
        <w:pStyle w:val="ListParagraph"/>
        <w:numPr>
          <w:ilvl w:val="0"/>
          <w:numId w:val="7"/>
        </w:numPr>
        <w:rPr>
          <w:vanish/>
        </w:rPr>
      </w:pPr>
    </w:p>
    <w:p w14:paraId="6166BB21" w14:textId="77777777" w:rsidR="002F6799" w:rsidRPr="002F6799" w:rsidRDefault="002F6799" w:rsidP="002F6799">
      <w:pPr>
        <w:pStyle w:val="ListParagraph"/>
        <w:numPr>
          <w:ilvl w:val="0"/>
          <w:numId w:val="7"/>
        </w:numPr>
        <w:rPr>
          <w:vanish/>
        </w:rPr>
      </w:pPr>
    </w:p>
    <w:p w14:paraId="3D25DDBF" w14:textId="77777777" w:rsidR="002F6799" w:rsidRPr="002F6799" w:rsidRDefault="002F6799" w:rsidP="002F6799">
      <w:pPr>
        <w:pStyle w:val="ListParagraph"/>
        <w:numPr>
          <w:ilvl w:val="0"/>
          <w:numId w:val="7"/>
        </w:numPr>
        <w:rPr>
          <w:vanish/>
        </w:rPr>
      </w:pPr>
    </w:p>
    <w:p w14:paraId="70B8AC6B" w14:textId="77777777" w:rsidR="00D62D23" w:rsidRDefault="00D62D23" w:rsidP="00E75709">
      <w:pPr>
        <w:pStyle w:val="ListParagraph"/>
        <w:ind w:left="1440"/>
      </w:pPr>
      <w:r>
        <w:t>Parties acknowledge that this A</w:t>
      </w:r>
      <w:r w:rsidR="00A044AB">
        <w:t>ddendum</w:t>
      </w:r>
      <w:r>
        <w:t xml:space="preserve"> is only</w:t>
      </w:r>
      <w:r w:rsidR="00CE00B9">
        <w:t xml:space="preserve"> effectively applicable </w:t>
      </w:r>
      <w:commentRangeStart w:id="12"/>
      <w:r>
        <w:t>temporar</w:t>
      </w:r>
      <w:r w:rsidR="00CE00B9">
        <w:t>il</w:t>
      </w:r>
      <w:r>
        <w:t xml:space="preserve">y </w:t>
      </w:r>
      <w:commentRangeEnd w:id="12"/>
      <w:r w:rsidR="00D20A2D">
        <w:rPr>
          <w:rStyle w:val="CommentReference"/>
        </w:rPr>
        <w:commentReference w:id="12"/>
      </w:r>
      <w:r>
        <w:t xml:space="preserve">in order to </w:t>
      </w:r>
      <w:r w:rsidR="008F5202">
        <w:t xml:space="preserve">conclude on urgent measures </w:t>
      </w:r>
      <w:r w:rsidR="007F1177">
        <w:t xml:space="preserve">needed to continue their </w:t>
      </w:r>
      <w:r w:rsidR="00070A79">
        <w:t xml:space="preserve">business </w:t>
      </w:r>
      <w:r w:rsidR="007F1177">
        <w:t>relationship in</w:t>
      </w:r>
      <w:r w:rsidR="00BF21D2">
        <w:t xml:space="preserve"> </w:t>
      </w:r>
      <w:r w:rsidR="007F1177">
        <w:t>uncertain</w:t>
      </w:r>
      <w:r w:rsidR="00070A79">
        <w:t xml:space="preserve"> and severe economic</w:t>
      </w:r>
      <w:r w:rsidR="007F1177">
        <w:t xml:space="preserve"> times</w:t>
      </w:r>
      <w:r w:rsidR="00D20A2D">
        <w:t>, accordingly serving the mutual interest of Parties</w:t>
      </w:r>
      <w:r w:rsidR="007F1177">
        <w:t xml:space="preserve">. </w:t>
      </w:r>
    </w:p>
    <w:p w14:paraId="77BB825F" w14:textId="77777777" w:rsidR="001F2CE9" w:rsidRDefault="001F2CE9" w:rsidP="001F2CE9">
      <w:pPr>
        <w:pStyle w:val="ListParagraph"/>
        <w:ind w:left="1440"/>
      </w:pPr>
    </w:p>
    <w:p w14:paraId="6F85804D" w14:textId="77777777" w:rsidR="00E75709" w:rsidRDefault="00E75709" w:rsidP="00E75709">
      <w:pPr>
        <w:ind w:left="697" w:firstLine="720"/>
        <w:rPr>
          <w:b/>
        </w:rPr>
      </w:pPr>
      <w:r w:rsidRPr="002E5BD9">
        <w:rPr>
          <w:b/>
        </w:rPr>
        <w:t xml:space="preserve">Article </w:t>
      </w:r>
      <w:r>
        <w:rPr>
          <w:b/>
        </w:rPr>
        <w:t>4</w:t>
      </w:r>
    </w:p>
    <w:p w14:paraId="6F980BAC" w14:textId="77777777" w:rsidR="00E75709" w:rsidRPr="002F6799" w:rsidRDefault="00E75709" w:rsidP="00E75709">
      <w:pPr>
        <w:pStyle w:val="ListParagraph"/>
        <w:numPr>
          <w:ilvl w:val="0"/>
          <w:numId w:val="7"/>
        </w:numPr>
        <w:rPr>
          <w:vanish/>
        </w:rPr>
      </w:pPr>
    </w:p>
    <w:p w14:paraId="3704AF82" w14:textId="77777777" w:rsidR="00E75709" w:rsidRPr="002F6799" w:rsidRDefault="00E75709" w:rsidP="00E75709">
      <w:pPr>
        <w:pStyle w:val="ListParagraph"/>
        <w:numPr>
          <w:ilvl w:val="0"/>
          <w:numId w:val="7"/>
        </w:numPr>
        <w:rPr>
          <w:vanish/>
        </w:rPr>
      </w:pPr>
    </w:p>
    <w:p w14:paraId="49CDE8F7" w14:textId="77777777" w:rsidR="00E75709" w:rsidRPr="002F6799" w:rsidRDefault="00E75709" w:rsidP="00E75709">
      <w:pPr>
        <w:pStyle w:val="ListParagraph"/>
        <w:numPr>
          <w:ilvl w:val="0"/>
          <w:numId w:val="7"/>
        </w:numPr>
        <w:rPr>
          <w:vanish/>
        </w:rPr>
      </w:pPr>
    </w:p>
    <w:p w14:paraId="7B6F244B" w14:textId="77777777" w:rsidR="00E75709" w:rsidRPr="002F6799" w:rsidRDefault="00E75709" w:rsidP="00E75709">
      <w:pPr>
        <w:pStyle w:val="ListParagraph"/>
        <w:numPr>
          <w:ilvl w:val="0"/>
          <w:numId w:val="7"/>
        </w:numPr>
        <w:rPr>
          <w:vanish/>
        </w:rPr>
      </w:pPr>
    </w:p>
    <w:p w14:paraId="71D045E8" w14:textId="77777777" w:rsidR="00E75709" w:rsidRPr="002F6799" w:rsidRDefault="00E75709" w:rsidP="00E75709">
      <w:pPr>
        <w:pStyle w:val="ListParagraph"/>
        <w:numPr>
          <w:ilvl w:val="0"/>
          <w:numId w:val="7"/>
        </w:numPr>
        <w:rPr>
          <w:vanish/>
        </w:rPr>
      </w:pPr>
    </w:p>
    <w:p w14:paraId="5E16CE70" w14:textId="77777777" w:rsidR="00B63B8C" w:rsidRDefault="00747B5D" w:rsidP="00E75709">
      <w:pPr>
        <w:pStyle w:val="ListParagraph"/>
        <w:ind w:left="1440"/>
      </w:pPr>
      <w:r>
        <w:t>Parties will</w:t>
      </w:r>
      <w:r w:rsidR="00BC125D">
        <w:t xml:space="preserve"> </w:t>
      </w:r>
      <w:r>
        <w:t>agree</w:t>
      </w:r>
      <w:r w:rsidR="00BC125D">
        <w:t xml:space="preserve"> in </w:t>
      </w:r>
      <w:commentRangeStart w:id="13"/>
      <w:r w:rsidR="00BC125D">
        <w:t>mutual conse</w:t>
      </w:r>
      <w:r w:rsidR="00B63B8C">
        <w:t xml:space="preserve">nt and in writing the timing </w:t>
      </w:r>
      <w:r w:rsidR="00D20A2D">
        <w:t xml:space="preserve">of the ending </w:t>
      </w:r>
      <w:commentRangeEnd w:id="13"/>
      <w:r w:rsidR="00D20A2D">
        <w:rPr>
          <w:rStyle w:val="CommentReference"/>
        </w:rPr>
        <w:commentReference w:id="13"/>
      </w:r>
      <w:r w:rsidR="00D20A2D">
        <w:t>of this temporar</w:t>
      </w:r>
      <w:r w:rsidR="00962D7F">
        <w:t>y A</w:t>
      </w:r>
      <w:r w:rsidR="00A044AB">
        <w:t>ddendum</w:t>
      </w:r>
      <w:r w:rsidR="00962D7F">
        <w:t xml:space="preserve"> and to </w:t>
      </w:r>
      <w:r w:rsidR="00B63B8C">
        <w:t>reinstate the Agreement</w:t>
      </w:r>
      <w:r w:rsidR="00962D7F">
        <w:t xml:space="preserve"> as originally agreed upon</w:t>
      </w:r>
      <w:r w:rsidR="00D20A2D">
        <w:t>,</w:t>
      </w:r>
      <w:r w:rsidR="005E71EB">
        <w:t xml:space="preserve"> or to renegotiate </w:t>
      </w:r>
      <w:r w:rsidR="00070A79">
        <w:t xml:space="preserve">a </w:t>
      </w:r>
      <w:r w:rsidR="005E71EB">
        <w:t>new intercompany agreement o</w:t>
      </w:r>
      <w:r w:rsidR="00CF652B">
        <w:t xml:space="preserve">nce </w:t>
      </w:r>
      <w:r w:rsidR="0093189C">
        <w:t>Parties</w:t>
      </w:r>
      <w:r w:rsidR="00CF652B">
        <w:t xml:space="preserve"> are in the possibility to have a more </w:t>
      </w:r>
      <w:r w:rsidR="00F778A8">
        <w:t>holistic view</w:t>
      </w:r>
      <w:r w:rsidR="00CF652B">
        <w:t xml:space="preserve"> on the economic impact of Covid-19 on their business activities</w:t>
      </w:r>
      <w:r w:rsidR="00CE00B9">
        <w:t xml:space="preserve"> and their future commercial and financial relations</w:t>
      </w:r>
      <w:r w:rsidR="00CF652B">
        <w:t xml:space="preserve">. </w:t>
      </w:r>
    </w:p>
    <w:p w14:paraId="2BFA93F4" w14:textId="77777777" w:rsidR="00B63B8C" w:rsidRDefault="00B63B8C" w:rsidP="00B63B8C">
      <w:pPr>
        <w:pStyle w:val="ListParagraph"/>
      </w:pPr>
    </w:p>
    <w:p w14:paraId="470AB562" w14:textId="77777777" w:rsidR="00E75709" w:rsidRPr="00E75709" w:rsidRDefault="00D20A2D" w:rsidP="00D20A2D">
      <w:pPr>
        <w:pStyle w:val="ListParagraph"/>
        <w:ind w:left="360" w:firstLine="337"/>
        <w:rPr>
          <w:b/>
          <w:u w:val="single"/>
        </w:rPr>
      </w:pPr>
      <w:r>
        <w:rPr>
          <w:b/>
          <w:u w:val="single"/>
        </w:rPr>
        <w:t>MISCELLANEOUS</w:t>
      </w:r>
    </w:p>
    <w:p w14:paraId="00DD3DDB" w14:textId="77777777" w:rsidR="00E75709" w:rsidRDefault="00E75709" w:rsidP="00E75709">
      <w:pPr>
        <w:pStyle w:val="ListParagraph"/>
        <w:ind w:left="360"/>
      </w:pPr>
    </w:p>
    <w:p w14:paraId="429AB873" w14:textId="77777777" w:rsidR="00E75709" w:rsidRDefault="00E75709" w:rsidP="00E75709">
      <w:pPr>
        <w:ind w:left="697" w:firstLine="720"/>
        <w:rPr>
          <w:b/>
        </w:rPr>
      </w:pPr>
      <w:r w:rsidRPr="002E5BD9">
        <w:rPr>
          <w:b/>
        </w:rPr>
        <w:t xml:space="preserve">Article </w:t>
      </w:r>
      <w:r>
        <w:rPr>
          <w:b/>
        </w:rPr>
        <w:t>5</w:t>
      </w:r>
    </w:p>
    <w:p w14:paraId="44A2EEF7" w14:textId="77777777" w:rsidR="00406EE6" w:rsidRDefault="00AC686E" w:rsidP="00E75709">
      <w:pPr>
        <w:ind w:left="1417"/>
      </w:pPr>
      <w:r>
        <w:t xml:space="preserve">This </w:t>
      </w:r>
      <w:r w:rsidR="00E75709">
        <w:t>A</w:t>
      </w:r>
      <w:r w:rsidR="00A044AB">
        <w:t>ddendum</w:t>
      </w:r>
      <w:r>
        <w:t xml:space="preserve"> is considered </w:t>
      </w:r>
      <w:r w:rsidR="003D1CFD">
        <w:t xml:space="preserve">to be an integral part of the final and entire </w:t>
      </w:r>
      <w:r w:rsidR="00954B0C">
        <w:t>Agreement between</w:t>
      </w:r>
      <w:r w:rsidR="003D1CFD">
        <w:t xml:space="preserve"> both </w:t>
      </w:r>
      <w:r w:rsidR="002B7C74">
        <w:t>p</w:t>
      </w:r>
      <w:r w:rsidR="003D1CFD">
        <w:t xml:space="preserve">arties with respect to the subject matter thereof. </w:t>
      </w:r>
    </w:p>
    <w:p w14:paraId="39B66135" w14:textId="77777777" w:rsidR="00E75709" w:rsidRDefault="00E75709" w:rsidP="00E75709">
      <w:pPr>
        <w:ind w:left="697" w:firstLine="720"/>
        <w:rPr>
          <w:b/>
        </w:rPr>
      </w:pPr>
    </w:p>
    <w:p w14:paraId="24BC022D" w14:textId="77777777" w:rsidR="00E75709" w:rsidRDefault="00E75709" w:rsidP="00E75709">
      <w:pPr>
        <w:ind w:left="697" w:firstLine="720"/>
        <w:rPr>
          <w:b/>
        </w:rPr>
      </w:pPr>
      <w:r w:rsidRPr="002E5BD9">
        <w:rPr>
          <w:b/>
        </w:rPr>
        <w:t xml:space="preserve">Article </w:t>
      </w:r>
      <w:r>
        <w:rPr>
          <w:b/>
        </w:rPr>
        <w:t>6</w:t>
      </w:r>
    </w:p>
    <w:p w14:paraId="5BAC3C9B" w14:textId="77777777" w:rsidR="007E716B" w:rsidRPr="004C3B35" w:rsidRDefault="004C3B35" w:rsidP="004C3B35">
      <w:pPr>
        <w:ind w:left="1417"/>
      </w:pPr>
      <w:r>
        <w:t>C</w:t>
      </w:r>
      <w:r w:rsidRPr="004C3B35">
        <w:t>lause and paragraph headings are inserted for ease of reference only an</w:t>
      </w:r>
      <w:r>
        <w:t>d shall not affect construction.</w:t>
      </w:r>
    </w:p>
    <w:p w14:paraId="799DF25A" w14:textId="77777777" w:rsidR="00653A04" w:rsidRDefault="00653A04" w:rsidP="00E53403">
      <w:pPr>
        <w:pStyle w:val="ListParagraph"/>
        <w:ind w:left="360" w:firstLine="337"/>
        <w:rPr>
          <w:b/>
          <w:u w:val="single"/>
        </w:rPr>
      </w:pPr>
    </w:p>
    <w:p w14:paraId="3B67640D" w14:textId="77777777" w:rsidR="00653A04" w:rsidRPr="00E53403" w:rsidRDefault="00653A04" w:rsidP="00E53403">
      <w:pPr>
        <w:pStyle w:val="ListParagraph"/>
        <w:ind w:left="360" w:firstLine="337"/>
        <w:rPr>
          <w:b/>
          <w:u w:val="single"/>
        </w:rPr>
      </w:pPr>
      <w:r w:rsidRPr="00653A04">
        <w:rPr>
          <w:b/>
          <w:u w:val="single"/>
        </w:rPr>
        <w:t>COUNTERPARTS</w:t>
      </w:r>
    </w:p>
    <w:p w14:paraId="08761C38" w14:textId="77777777" w:rsidR="00653A04" w:rsidRDefault="00653A04" w:rsidP="00653A04">
      <w:pPr>
        <w:ind w:left="697" w:firstLine="720"/>
        <w:rPr>
          <w:b/>
        </w:rPr>
      </w:pPr>
      <w:r w:rsidRPr="002E5BD9">
        <w:rPr>
          <w:b/>
        </w:rPr>
        <w:t xml:space="preserve">Article </w:t>
      </w:r>
      <w:r>
        <w:rPr>
          <w:b/>
        </w:rPr>
        <w:t>7</w:t>
      </w:r>
    </w:p>
    <w:p w14:paraId="36254D7C" w14:textId="77777777" w:rsidR="00E75709" w:rsidRDefault="00653A04" w:rsidP="00E53403">
      <w:pPr>
        <w:ind w:left="1417"/>
      </w:pPr>
      <w:r>
        <w:t>This A</w:t>
      </w:r>
      <w:r w:rsidR="00A044AB">
        <w:t>ddendum</w:t>
      </w:r>
      <w:r>
        <w:t xml:space="preserve"> may be executed in any number of counterparts and by each Party on separate counterparts, each of which shall be deemed an original.</w:t>
      </w:r>
      <w:r w:rsidR="00E75709">
        <w:br w:type="page"/>
      </w:r>
    </w:p>
    <w:p w14:paraId="501A7047" w14:textId="77777777" w:rsidR="00D20A2D" w:rsidRDefault="00D20A2D" w:rsidP="00D24307"/>
    <w:p w14:paraId="215232A8" w14:textId="77777777" w:rsidR="002669B0" w:rsidRDefault="00F530EB" w:rsidP="00E53403">
      <w:pPr>
        <w:spacing w:after="0"/>
      </w:pPr>
      <w:r w:rsidRPr="00E53403">
        <w:rPr>
          <w:b/>
        </w:rPr>
        <w:t>IN WITNESS WHEREOF</w:t>
      </w:r>
      <w:r w:rsidR="00A5455A">
        <w:t xml:space="preserve">, </w:t>
      </w:r>
      <w:r w:rsidR="00D50AF6">
        <w:t>P</w:t>
      </w:r>
      <w:r w:rsidR="00A5455A">
        <w:t>arties hereto have caused their du</w:t>
      </w:r>
      <w:r w:rsidR="00292AB4">
        <w:t xml:space="preserve">ly empowered representatives to </w:t>
      </w:r>
      <w:r w:rsidR="00A5455A">
        <w:t>execute th</w:t>
      </w:r>
      <w:r w:rsidR="00D50AF6">
        <w:t xml:space="preserve">e present </w:t>
      </w:r>
      <w:r w:rsidR="00A044AB">
        <w:t xml:space="preserve">Addendum </w:t>
      </w:r>
      <w:r w:rsidR="002C016A">
        <w:t xml:space="preserve">as of the </w:t>
      </w:r>
      <w:r w:rsidR="00E53403">
        <w:t>Effective Date</w:t>
      </w:r>
      <w:r>
        <w:t xml:space="preserve">. </w:t>
      </w:r>
    </w:p>
    <w:p w14:paraId="696E08DB" w14:textId="77777777" w:rsidR="002669B0" w:rsidRDefault="002669B0" w:rsidP="00D24307"/>
    <w:p w14:paraId="3D56B1BE" w14:textId="77777777" w:rsidR="00A81FB1" w:rsidRPr="00925B23" w:rsidRDefault="0045410B" w:rsidP="00D20A2D">
      <w:pPr>
        <w:ind w:firstLine="720"/>
        <w:rPr>
          <w:rFonts w:ascii="Arial" w:hAnsi="Arial" w:cs="Arial"/>
          <w:b/>
          <w:sz w:val="21"/>
          <w:szCs w:val="21"/>
          <w:lang w:val="en-GB"/>
        </w:rPr>
      </w:pPr>
      <w:r>
        <w:rPr>
          <w:rFonts w:ascii="Arial" w:hAnsi="Arial" w:cs="Arial"/>
          <w:b/>
          <w:sz w:val="21"/>
          <w:szCs w:val="21"/>
          <w:lang w:val="en-GB"/>
        </w:rPr>
        <w:t>FOR PARTY</w:t>
      </w:r>
      <w:r w:rsidR="0056309D">
        <w:rPr>
          <w:rFonts w:ascii="Arial" w:hAnsi="Arial" w:cs="Arial"/>
          <w:b/>
          <w:sz w:val="21"/>
          <w:szCs w:val="21"/>
          <w:lang w:val="en-GB"/>
        </w:rPr>
        <w:t xml:space="preserve"> 1</w:t>
      </w:r>
    </w:p>
    <w:p w14:paraId="41EDAD5A" w14:textId="77777777" w:rsidR="00A81FB1" w:rsidRDefault="00A81FB1" w:rsidP="00D20A2D">
      <w:pPr>
        <w:ind w:firstLine="720"/>
        <w:rPr>
          <w:rFonts w:ascii="Arial" w:hAnsi="Arial" w:cs="Arial"/>
          <w:sz w:val="21"/>
          <w:szCs w:val="21"/>
          <w:lang w:val="en-GB"/>
        </w:rPr>
      </w:pPr>
      <w:r>
        <w:rPr>
          <w:rFonts w:ascii="Arial" w:hAnsi="Arial" w:cs="Arial"/>
          <w:sz w:val="21"/>
          <w:szCs w:val="21"/>
          <w:lang w:val="en-GB"/>
        </w:rPr>
        <w:t>Signed by:</w:t>
      </w:r>
    </w:p>
    <w:p w14:paraId="56201BAD" w14:textId="77777777" w:rsidR="00A81FB1" w:rsidRDefault="00A81FB1" w:rsidP="00A81FB1">
      <w:pPr>
        <w:rPr>
          <w:rFonts w:ascii="Arial" w:hAnsi="Arial" w:cs="Arial"/>
          <w:sz w:val="21"/>
          <w:szCs w:val="21"/>
          <w:lang w:val="en-GB"/>
        </w:rPr>
      </w:pPr>
    </w:p>
    <w:p w14:paraId="28D2AEB7" w14:textId="77777777" w:rsidR="00A81FB1" w:rsidRDefault="00A81FB1" w:rsidP="00A81FB1">
      <w:pPr>
        <w:rPr>
          <w:rFonts w:ascii="Arial" w:hAnsi="Arial" w:cs="Arial"/>
          <w:sz w:val="21"/>
          <w:szCs w:val="21"/>
          <w:lang w:val="en-GB"/>
        </w:rPr>
      </w:pPr>
    </w:p>
    <w:p w14:paraId="3585676A" w14:textId="77777777" w:rsidR="00A81FB1" w:rsidRDefault="00A81FB1" w:rsidP="00D20A2D">
      <w:pPr>
        <w:ind w:firstLine="720"/>
        <w:rPr>
          <w:rFonts w:ascii="Arial" w:hAnsi="Arial" w:cs="Arial"/>
          <w:sz w:val="21"/>
          <w:szCs w:val="21"/>
          <w:lang w:val="en-GB"/>
        </w:rPr>
      </w:pPr>
      <w:r>
        <w:rPr>
          <w:rFonts w:ascii="Arial" w:hAnsi="Arial" w:cs="Arial"/>
          <w:sz w:val="21"/>
          <w:szCs w:val="21"/>
          <w:lang w:val="en-GB"/>
        </w:rPr>
        <w:t xml:space="preserve">For and on behalf of </w:t>
      </w:r>
      <w:r w:rsidR="0045410B">
        <w:rPr>
          <w:rFonts w:ascii="Arial" w:hAnsi="Arial" w:cs="Arial"/>
          <w:b/>
          <w:sz w:val="21"/>
          <w:szCs w:val="21"/>
          <w:lang w:val="en-GB"/>
        </w:rPr>
        <w:t>Party 1</w:t>
      </w:r>
      <w:r w:rsidRPr="00051AF3">
        <w:rPr>
          <w:rFonts w:ascii="Arial" w:hAnsi="Arial" w:cs="Arial"/>
          <w:b/>
          <w:sz w:val="21"/>
          <w:szCs w:val="21"/>
          <w:lang w:val="en-GB"/>
        </w:rPr>
        <w:t>.</w:t>
      </w:r>
    </w:p>
    <w:p w14:paraId="59DD2B8B" w14:textId="77777777" w:rsidR="00A81FB1" w:rsidRDefault="00A81FB1" w:rsidP="00A81FB1">
      <w:pPr>
        <w:rPr>
          <w:rFonts w:ascii="Arial" w:hAnsi="Arial" w:cs="Arial"/>
          <w:sz w:val="21"/>
          <w:szCs w:val="21"/>
          <w:lang w:val="en-GB"/>
        </w:rPr>
      </w:pPr>
    </w:p>
    <w:p w14:paraId="14DC4BC4" w14:textId="77777777" w:rsidR="0045410B" w:rsidRPr="00925B23" w:rsidRDefault="0045410B" w:rsidP="00D20A2D">
      <w:pPr>
        <w:ind w:firstLine="720"/>
        <w:rPr>
          <w:rFonts w:ascii="Arial" w:hAnsi="Arial" w:cs="Arial"/>
          <w:b/>
          <w:sz w:val="21"/>
          <w:szCs w:val="21"/>
          <w:lang w:val="en-GB"/>
        </w:rPr>
      </w:pPr>
      <w:r>
        <w:rPr>
          <w:rFonts w:ascii="Arial" w:hAnsi="Arial" w:cs="Arial"/>
          <w:b/>
          <w:sz w:val="21"/>
          <w:szCs w:val="21"/>
          <w:lang w:val="en-GB"/>
        </w:rPr>
        <w:t>FOR PARTY 2</w:t>
      </w:r>
    </w:p>
    <w:p w14:paraId="625350A1" w14:textId="77777777" w:rsidR="00A81FB1" w:rsidRDefault="00A81FB1" w:rsidP="00D20A2D">
      <w:pPr>
        <w:ind w:firstLine="720"/>
        <w:rPr>
          <w:rFonts w:ascii="Arial" w:hAnsi="Arial" w:cs="Arial"/>
          <w:sz w:val="21"/>
          <w:szCs w:val="21"/>
          <w:lang w:val="en-GB"/>
        </w:rPr>
      </w:pPr>
      <w:r>
        <w:rPr>
          <w:rFonts w:ascii="Arial" w:hAnsi="Arial" w:cs="Arial"/>
          <w:sz w:val="21"/>
          <w:szCs w:val="21"/>
          <w:lang w:val="en-GB"/>
        </w:rPr>
        <w:t xml:space="preserve">Signed by: </w:t>
      </w:r>
    </w:p>
    <w:p w14:paraId="314913B2" w14:textId="77777777" w:rsidR="00A81FB1" w:rsidRDefault="00A81FB1" w:rsidP="00A81FB1">
      <w:pPr>
        <w:rPr>
          <w:rFonts w:ascii="Arial" w:hAnsi="Arial" w:cs="Arial"/>
          <w:sz w:val="21"/>
          <w:szCs w:val="21"/>
          <w:lang w:val="en-GB"/>
        </w:rPr>
      </w:pPr>
    </w:p>
    <w:p w14:paraId="5B855A05" w14:textId="77777777" w:rsidR="00A81FB1" w:rsidRDefault="00A81FB1" w:rsidP="00A81FB1">
      <w:pPr>
        <w:rPr>
          <w:rFonts w:ascii="Arial" w:hAnsi="Arial" w:cs="Arial"/>
          <w:sz w:val="21"/>
          <w:szCs w:val="21"/>
          <w:lang w:val="en-GB"/>
        </w:rPr>
      </w:pPr>
    </w:p>
    <w:p w14:paraId="25DB6129" w14:textId="77777777" w:rsidR="00A81FB1" w:rsidRPr="00051AF3" w:rsidRDefault="00A81FB1" w:rsidP="00D20A2D">
      <w:pPr>
        <w:ind w:firstLine="720"/>
        <w:rPr>
          <w:rFonts w:ascii="Arial" w:hAnsi="Arial" w:cs="Arial"/>
          <w:b/>
          <w:sz w:val="21"/>
          <w:szCs w:val="21"/>
          <w:lang w:val="en-GB"/>
        </w:rPr>
      </w:pPr>
      <w:r>
        <w:rPr>
          <w:rFonts w:ascii="Arial" w:hAnsi="Arial" w:cs="Arial"/>
          <w:sz w:val="21"/>
          <w:szCs w:val="21"/>
          <w:lang w:val="en-GB"/>
        </w:rPr>
        <w:t xml:space="preserve">For and on behalf of </w:t>
      </w:r>
      <w:r w:rsidR="00745F49">
        <w:rPr>
          <w:rFonts w:ascii="Arial" w:hAnsi="Arial" w:cs="Arial"/>
          <w:b/>
          <w:sz w:val="21"/>
          <w:szCs w:val="21"/>
          <w:lang w:val="en-GB"/>
        </w:rPr>
        <w:t>Party 2</w:t>
      </w:r>
    </w:p>
    <w:p w14:paraId="6C2B3896" w14:textId="77777777" w:rsidR="00A81FB1" w:rsidRDefault="00A81FB1" w:rsidP="00D24307">
      <w:pPr>
        <w:rPr>
          <w:lang w:val="en-GB"/>
        </w:rPr>
      </w:pPr>
    </w:p>
    <w:p w14:paraId="5126B266" w14:textId="77777777" w:rsidR="00D20A2D" w:rsidRDefault="00D20A2D" w:rsidP="00D24307">
      <w:pPr>
        <w:rPr>
          <w:lang w:val="en-GB"/>
        </w:rPr>
      </w:pPr>
    </w:p>
    <w:p w14:paraId="5496E013" w14:textId="77777777" w:rsidR="00D20A2D" w:rsidRPr="00D20A2D" w:rsidRDefault="00D20A2D" w:rsidP="00D20A2D">
      <w:pPr>
        <w:pBdr>
          <w:top w:val="single" w:sz="4" w:space="1" w:color="auto"/>
          <w:left w:val="single" w:sz="4" w:space="4" w:color="auto"/>
          <w:bottom w:val="single" w:sz="4" w:space="1" w:color="auto"/>
          <w:right w:val="single" w:sz="4" w:space="4" w:color="auto"/>
        </w:pBdr>
        <w:rPr>
          <w:b/>
          <w:color w:val="E1194F"/>
          <w:lang w:val="en-GB"/>
        </w:rPr>
      </w:pPr>
      <w:r w:rsidRPr="00D20A2D">
        <w:rPr>
          <w:b/>
          <w:color w:val="E1194F"/>
          <w:lang w:val="en-GB"/>
        </w:rPr>
        <w:t xml:space="preserve">VERSION DATE OF TEMPLATE: 1 APRIL 2020 </w:t>
      </w:r>
    </w:p>
    <w:p w14:paraId="3B1F1DC2" w14:textId="77777777" w:rsidR="00D20A2D" w:rsidRDefault="00D20A2D" w:rsidP="00D24307">
      <w:pPr>
        <w:rPr>
          <w:lang w:val="en-GB"/>
        </w:rPr>
      </w:pPr>
    </w:p>
    <w:p w14:paraId="1E0711B6" w14:textId="77777777" w:rsidR="00FB5198" w:rsidRDefault="00D20A2D" w:rsidP="00D20A2D">
      <w:pPr>
        <w:pBdr>
          <w:top w:val="single" w:sz="4" w:space="1" w:color="auto"/>
          <w:left w:val="single" w:sz="4" w:space="4" w:color="auto"/>
          <w:bottom w:val="single" w:sz="4" w:space="1" w:color="auto"/>
          <w:right w:val="single" w:sz="4" w:space="4" w:color="auto"/>
        </w:pBdr>
        <w:rPr>
          <w:lang w:val="en-GB"/>
        </w:rPr>
      </w:pPr>
      <w:r>
        <w:rPr>
          <w:lang w:val="en-GB"/>
        </w:rPr>
        <w:t xml:space="preserve">This template for inspiration has been provided to you </w:t>
      </w:r>
      <w:r w:rsidR="006B1321">
        <w:rPr>
          <w:lang w:val="en-GB"/>
        </w:rPr>
        <w:t>by</w:t>
      </w:r>
      <w:r w:rsidR="00FB5198">
        <w:rPr>
          <w:lang w:val="en-GB"/>
        </w:rPr>
        <w:t xml:space="preserve"> WTS Global</w:t>
      </w:r>
      <w:r w:rsidR="006B1321">
        <w:rPr>
          <w:lang w:val="en-GB"/>
        </w:rPr>
        <w:t xml:space="preserve">. In case of further questions, in order to operationalize COVID-19 measures, please do not hesitate to contact </w:t>
      </w:r>
      <w:r w:rsidR="00FB5198">
        <w:rPr>
          <w:lang w:val="en-GB"/>
        </w:rPr>
        <w:t xml:space="preserve">your WTS Global transfer pricing contacts. </w:t>
      </w:r>
    </w:p>
    <w:p w14:paraId="63C854D7" w14:textId="7CDF343D" w:rsidR="00FB5198" w:rsidRDefault="00FB5198" w:rsidP="00D20A2D">
      <w:pPr>
        <w:pBdr>
          <w:top w:val="single" w:sz="4" w:space="1" w:color="auto"/>
          <w:left w:val="single" w:sz="4" w:space="4" w:color="auto"/>
          <w:bottom w:val="single" w:sz="4" w:space="1" w:color="auto"/>
          <w:right w:val="single" w:sz="4" w:space="4" w:color="auto"/>
        </w:pBdr>
        <w:rPr>
          <w:lang w:val="en-GB"/>
        </w:rPr>
      </w:pPr>
      <w:r>
        <w:rPr>
          <w:lang w:val="en-GB"/>
        </w:rPr>
        <w:t xml:space="preserve">Sincerely, </w:t>
      </w:r>
    </w:p>
    <w:p w14:paraId="7A46C832" w14:textId="77777777" w:rsidR="00FB5198" w:rsidRDefault="00FB5198" w:rsidP="00D20A2D">
      <w:pPr>
        <w:pBdr>
          <w:top w:val="single" w:sz="4" w:space="1" w:color="auto"/>
          <w:left w:val="single" w:sz="4" w:space="4" w:color="auto"/>
          <w:bottom w:val="single" w:sz="4" w:space="1" w:color="auto"/>
          <w:right w:val="single" w:sz="4" w:space="4" w:color="auto"/>
        </w:pBdr>
        <w:rPr>
          <w:lang w:val="en-GB"/>
        </w:rPr>
      </w:pPr>
      <w:r>
        <w:rPr>
          <w:lang w:val="en-GB"/>
        </w:rPr>
        <w:t>Andy Neuteleers</w:t>
      </w:r>
    </w:p>
    <w:p w14:paraId="4B4B2774" w14:textId="77777777" w:rsidR="00FB5198" w:rsidRDefault="00FB5198" w:rsidP="00D20A2D">
      <w:pPr>
        <w:pBdr>
          <w:top w:val="single" w:sz="4" w:space="1" w:color="auto"/>
          <w:left w:val="single" w:sz="4" w:space="4" w:color="auto"/>
          <w:bottom w:val="single" w:sz="4" w:space="1" w:color="auto"/>
          <w:right w:val="single" w:sz="4" w:space="4" w:color="auto"/>
        </w:pBdr>
        <w:rPr>
          <w:lang w:val="en-GB"/>
        </w:rPr>
      </w:pPr>
      <w:r>
        <w:rPr>
          <w:lang w:val="en-GB"/>
        </w:rPr>
        <w:t>Partner Transfer Pricing &amp; Valuations</w:t>
      </w:r>
      <w:r>
        <w:rPr>
          <w:lang w:val="en-GB"/>
        </w:rPr>
        <w:br/>
        <w:t>T/A economics – member of WTS Global</w:t>
      </w:r>
    </w:p>
    <w:p w14:paraId="78C04226" w14:textId="4994E50F" w:rsidR="006B1321" w:rsidRPr="00A81FB1" w:rsidRDefault="00FB5198" w:rsidP="00D20A2D">
      <w:pPr>
        <w:pBdr>
          <w:top w:val="single" w:sz="4" w:space="1" w:color="auto"/>
          <w:left w:val="single" w:sz="4" w:space="4" w:color="auto"/>
          <w:bottom w:val="single" w:sz="4" w:space="1" w:color="auto"/>
          <w:right w:val="single" w:sz="4" w:space="4" w:color="auto"/>
        </w:pBdr>
        <w:rPr>
          <w:lang w:val="en-GB"/>
        </w:rPr>
      </w:pPr>
      <w:r>
        <w:rPr>
          <w:lang w:val="en-GB"/>
        </w:rPr>
        <w:t>+32 471 89 23 16</w:t>
      </w:r>
      <w:r>
        <w:rPr>
          <w:lang w:val="en-GB"/>
        </w:rPr>
        <w:br/>
      </w:r>
      <w:hyperlink r:id="rId10" w:history="1">
        <w:r w:rsidR="006B1321" w:rsidRPr="00E64F7A">
          <w:rPr>
            <w:rStyle w:val="Hyperlink"/>
            <w:lang w:val="en-GB"/>
          </w:rPr>
          <w:t>andy@TAeconomics.com</w:t>
        </w:r>
      </w:hyperlink>
      <w:r w:rsidR="006B1321">
        <w:rPr>
          <w:lang w:val="en-GB"/>
        </w:rPr>
        <w:t xml:space="preserve"> </w:t>
      </w:r>
      <w:r w:rsidR="006B1321">
        <w:rPr>
          <w:lang w:val="en-GB"/>
        </w:rPr>
        <w:tab/>
      </w:r>
      <w:r w:rsidR="006B1321">
        <w:rPr>
          <w:lang w:val="en-GB"/>
        </w:rPr>
        <w:br/>
      </w:r>
      <w:hyperlink r:id="rId11" w:history="1">
        <w:r w:rsidRPr="00B2407B">
          <w:rPr>
            <w:rStyle w:val="Hyperlink"/>
            <w:lang w:val="en-GB"/>
          </w:rPr>
          <w:t>www.TAeconomics.com</w:t>
        </w:r>
      </w:hyperlink>
      <w:r w:rsidR="006B1321">
        <w:rPr>
          <w:lang w:val="en-GB"/>
        </w:rPr>
        <w:tab/>
      </w:r>
      <w:r w:rsidR="006B1321">
        <w:rPr>
          <w:lang w:val="en-GB"/>
        </w:rPr>
        <w:br/>
      </w:r>
      <w:hyperlink r:id="rId12" w:history="1">
        <w:r w:rsidRPr="00B2407B">
          <w:rPr>
            <w:rStyle w:val="Hyperlink"/>
            <w:lang w:val="en-GB"/>
          </w:rPr>
          <w:t>www.wts.com/global</w:t>
        </w:r>
      </w:hyperlink>
      <w:r w:rsidR="006B1321">
        <w:rPr>
          <w:lang w:val="en-GB"/>
        </w:rPr>
        <w:t xml:space="preserve">  </w:t>
      </w:r>
      <w:bookmarkStart w:id="14" w:name="_GoBack"/>
      <w:bookmarkEnd w:id="14"/>
    </w:p>
    <w:sectPr w:rsidR="006B1321" w:rsidRPr="00A81FB1">
      <w:headerReference w:type="default" r:id="rId13"/>
      <w:footerReference w:type="defaul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dy Neuteleers" w:date="2020-04-01T18:58:00Z" w:initials="AN">
    <w:p w14:paraId="4EEF89FD" w14:textId="77777777" w:rsidR="00572E5D" w:rsidRDefault="00572E5D">
      <w:pPr>
        <w:pStyle w:val="CommentText"/>
      </w:pPr>
      <w:r>
        <w:rPr>
          <w:rStyle w:val="CommentReference"/>
        </w:rPr>
        <w:annotationRef/>
      </w:r>
      <w:r>
        <w:t>Please also consider our commentary.</w:t>
      </w:r>
    </w:p>
  </w:comment>
  <w:comment w:id="1" w:author="Andy Neuteleers" w:date="2020-04-01T17:01:00Z" w:initials="AN">
    <w:p w14:paraId="568D96D6" w14:textId="77777777" w:rsidR="009B497A" w:rsidRDefault="009B497A">
      <w:pPr>
        <w:pStyle w:val="CommentText"/>
      </w:pPr>
      <w:r>
        <w:rPr>
          <w:rStyle w:val="CommentReference"/>
        </w:rPr>
        <w:annotationRef/>
      </w:r>
      <w:r>
        <w:t>Please insert header name of the intercompany agreement you wish to amend.</w:t>
      </w:r>
    </w:p>
  </w:comment>
  <w:comment w:id="2" w:author="Andy Neuteleers" w:date="2020-04-01T17:03:00Z" w:initials="AN">
    <w:p w14:paraId="10E0671D" w14:textId="77777777" w:rsidR="009B497A" w:rsidRDefault="009B497A">
      <w:pPr>
        <w:pStyle w:val="CommentText"/>
      </w:pPr>
      <w:r>
        <w:rPr>
          <w:rStyle w:val="CommentReference"/>
        </w:rPr>
        <w:annotationRef/>
      </w:r>
      <w:r>
        <w:t xml:space="preserve">As transfer pricing professionals we find it very important to provide for the appropriate context of any of the amendments that can be agreed upon in respect of the arm’s length principle. </w:t>
      </w:r>
      <w:r w:rsidR="004C3B35">
        <w:t>Therefore,</w:t>
      </w:r>
      <w:r>
        <w:t xml:space="preserve"> this template focusses on the recitals.</w:t>
      </w:r>
    </w:p>
  </w:comment>
  <w:comment w:id="3" w:author="Andy Neuteleers" w:date="2020-04-01T17:05:00Z" w:initials="AN">
    <w:p w14:paraId="0BE06F12" w14:textId="77777777" w:rsidR="009B497A" w:rsidRDefault="009B497A">
      <w:pPr>
        <w:pStyle w:val="CommentText"/>
      </w:pPr>
      <w:r>
        <w:rPr>
          <w:rStyle w:val="CommentReference"/>
        </w:rPr>
        <w:annotationRef/>
      </w:r>
      <w:r>
        <w:t xml:space="preserve">The first 3 blocks provide a general overview of the global situation and market circumstances. Purely from a legal perspective this may be seen as superfluous potentially. </w:t>
      </w:r>
      <w:r w:rsidR="00313CE2">
        <w:t xml:space="preserve">And today these wordings seem obvious, but there are 2 reasons that one can potentially consider to keep this “setting the scene” blocks in the recitals. (i) to remember today’s situation when being audited in a few </w:t>
      </w:r>
      <w:r w:rsidR="00954B0C">
        <w:t>years’ time</w:t>
      </w:r>
      <w:r w:rsidR="00313CE2">
        <w:t>, (2) we are doing intercompany what third parties are doing as well – i.e. at least to reconsider or re-evaluate business relations even without knowing the full extent of the impact. We are gathering real life examples of reviewed arrangements between 3</w:t>
      </w:r>
      <w:r w:rsidR="00313CE2" w:rsidRPr="00313CE2">
        <w:rPr>
          <w:vertAlign w:val="superscript"/>
        </w:rPr>
        <w:t>rd</w:t>
      </w:r>
      <w:r w:rsidR="00313CE2">
        <w:t xml:space="preserve"> parties as evidence of amending existing arrangements. Hence, please consider this as optional.</w:t>
      </w:r>
    </w:p>
  </w:comment>
  <w:comment w:id="4" w:author="Andy Neuteleers" w:date="2020-04-01T17:10:00Z" w:initials="AN">
    <w:p w14:paraId="3C11CD79" w14:textId="77777777" w:rsidR="00313CE2" w:rsidRDefault="00313CE2">
      <w:pPr>
        <w:pStyle w:val="CommentText"/>
      </w:pPr>
      <w:r>
        <w:rPr>
          <w:rStyle w:val="CommentReference"/>
        </w:rPr>
        <w:annotationRef/>
      </w:r>
      <w:r>
        <w:t>This is the wording included in the Arm’s Length Principle itself, and therefore of key importance to us mentioning that the commercial and/or financial relation between the affiliated parties is affected.</w:t>
      </w:r>
    </w:p>
  </w:comment>
  <w:comment w:id="5" w:author="Andy Neuteleers" w:date="2020-04-01T17:12:00Z" w:initials="AN">
    <w:p w14:paraId="12045CD2" w14:textId="77777777" w:rsidR="00313CE2" w:rsidRDefault="00313CE2">
      <w:pPr>
        <w:pStyle w:val="CommentText"/>
      </w:pPr>
      <w:r>
        <w:rPr>
          <w:rStyle w:val="CommentReference"/>
        </w:rPr>
        <w:annotationRef/>
      </w:r>
      <w:r>
        <w:t>Cf. above</w:t>
      </w:r>
    </w:p>
  </w:comment>
  <w:comment w:id="6" w:author="Andy Neuteleers" w:date="2020-04-01T17:12:00Z" w:initials="AN">
    <w:p w14:paraId="4C69B12A" w14:textId="77777777" w:rsidR="00313CE2" w:rsidRDefault="00313CE2">
      <w:pPr>
        <w:pStyle w:val="CommentText"/>
      </w:pPr>
      <w:r>
        <w:rPr>
          <w:rStyle w:val="CommentReference"/>
        </w:rPr>
        <w:annotationRef/>
      </w:r>
      <w:r>
        <w:t xml:space="preserve">This is a key premises to effectively apply in an appropriate manner the arm’s length principle. If one can evidence that this is in the benefit of the parties involved individually – i.e. under the separate entity hypothesis – the commercial rationale to introduce new (temporary) terms and conditions can be substantiated. The original terms and conditions can as such be overruled (temporarily), however will serve as a starting point to define updated/temporary terms and </w:t>
      </w:r>
      <w:r w:rsidR="002E5BD9">
        <w:t>conditions</w:t>
      </w:r>
      <w:r>
        <w:t>.</w:t>
      </w:r>
      <w:r w:rsidR="002E5BD9">
        <w:t xml:space="preserve"> </w:t>
      </w:r>
      <w:r>
        <w:t xml:space="preserve"> </w:t>
      </w:r>
    </w:p>
  </w:comment>
  <w:comment w:id="7" w:author="Andy Neuteleers" w:date="2020-04-01T17:16:00Z" w:initials="AN">
    <w:p w14:paraId="0DBE8009" w14:textId="77777777" w:rsidR="002E5BD9" w:rsidRDefault="002E5BD9">
      <w:pPr>
        <w:pStyle w:val="CommentText"/>
      </w:pPr>
      <w:r>
        <w:rPr>
          <w:rStyle w:val="CommentReference"/>
        </w:rPr>
        <w:annotationRef/>
      </w:r>
      <w:r>
        <w:t xml:space="preserve">When considering a mutual interest in getting through this crisis – sharing the burden of it to a certain extent – then becomes the prime rationale to overrule or supplement the original terms and conditions. The manner and extent of deviation from the original terms is case specific, but the end-result should be a defense case for mutual interest, and the best realistic option to navigate through this uncertainty. </w:t>
      </w:r>
    </w:p>
  </w:comment>
  <w:comment w:id="8" w:author="Andy Neuteleers" w:date="2020-04-01T17:19:00Z" w:initials="AN">
    <w:p w14:paraId="6042A2B3" w14:textId="77777777" w:rsidR="002E5BD9" w:rsidRDefault="002E5BD9">
      <w:pPr>
        <w:pStyle w:val="CommentText"/>
      </w:pPr>
      <w:r>
        <w:rPr>
          <w:rStyle w:val="CommentReference"/>
        </w:rPr>
        <w:annotationRef/>
      </w:r>
      <w:r>
        <w:t xml:space="preserve">We believe that it can be in the mutual interest of parties not </w:t>
      </w:r>
      <w:r w:rsidRPr="004C3B35">
        <w:t>to invoke the force majeur</w:t>
      </w:r>
      <w:r w:rsidR="00954B0C" w:rsidRPr="004C3B35">
        <w:t>e</w:t>
      </w:r>
      <w:r w:rsidRPr="004C3B35">
        <w:t xml:space="preserve"> clause, if there can be a negotiated solution, unless on the basis thereof the renegotiation is explicitly warranted. In case there is a force majeur</w:t>
      </w:r>
      <w:r w:rsidR="00954B0C" w:rsidRPr="004C3B35">
        <w:t>e</w:t>
      </w:r>
      <w:r w:rsidRPr="004C3B35">
        <w:t xml:space="preserve"> clause</w:t>
      </w:r>
      <w:r w:rsidR="004C3B35" w:rsidRPr="004C3B35">
        <w:t xml:space="preserve"> included in the Agreement</w:t>
      </w:r>
      <w:r w:rsidRPr="004C3B35">
        <w:t>,</w:t>
      </w:r>
      <w:r w:rsidR="004C3B35" w:rsidRPr="004C3B35">
        <w:t xml:space="preserve"> notwithstanding the basis of the A</w:t>
      </w:r>
      <w:r w:rsidR="00A044AB">
        <w:t>ddendum</w:t>
      </w:r>
      <w:r w:rsidR="004C3B35" w:rsidRPr="004C3B35">
        <w:t xml:space="preserve"> is mutual interest,</w:t>
      </w:r>
      <w:r w:rsidRPr="004C3B35">
        <w:t xml:space="preserve"> we would recommend to at least</w:t>
      </w:r>
      <w:r w:rsidR="004C3B35" w:rsidRPr="004C3B35">
        <w:t xml:space="preserve"> mention</w:t>
      </w:r>
      <w:r w:rsidRPr="004C3B35">
        <w:t xml:space="preserve"> the consideration thereof by both parties</w:t>
      </w:r>
      <w:r w:rsidR="004C3B35" w:rsidRPr="004C3B35">
        <w:t xml:space="preserve"> in the </w:t>
      </w:r>
      <w:r w:rsidR="00A044AB">
        <w:t>Addendum</w:t>
      </w:r>
      <w:r w:rsidRPr="004C3B35">
        <w:t>.</w:t>
      </w:r>
    </w:p>
  </w:comment>
  <w:comment w:id="9" w:author="Andy Neuteleers" w:date="2020-04-01T17:21:00Z" w:initials="AN">
    <w:p w14:paraId="7768872A" w14:textId="77777777" w:rsidR="002E5BD9" w:rsidRDefault="002E5BD9">
      <w:pPr>
        <w:pStyle w:val="CommentText"/>
      </w:pPr>
      <w:r>
        <w:rPr>
          <w:rStyle w:val="CommentReference"/>
        </w:rPr>
        <w:annotationRef/>
      </w:r>
      <w:r>
        <w:t>Insert Amend</w:t>
      </w:r>
      <w:r w:rsidR="00A044AB">
        <w:t>ed</w:t>
      </w:r>
      <w:r>
        <w:t xml:space="preserve"> Article number (now</w:t>
      </w:r>
    </w:p>
  </w:comment>
  <w:comment w:id="10" w:author="Andy Neuteleers" w:date="2020-04-01T17:26:00Z" w:initials="AN">
    <w:p w14:paraId="001643CF" w14:textId="77777777" w:rsidR="002E5BD9" w:rsidRDefault="002E5BD9">
      <w:pPr>
        <w:pStyle w:val="CommentText"/>
      </w:pPr>
      <w:r>
        <w:rPr>
          <w:rStyle w:val="CommentReference"/>
        </w:rPr>
        <w:annotationRef/>
      </w:r>
      <w:r w:rsidR="00326C25">
        <w:t>We suggest to explicitly list the articles that will be ceased (temporarily), and (potentially) replaced by (interim) new ones</w:t>
      </w:r>
    </w:p>
  </w:comment>
  <w:comment w:id="11" w:author="Andy Neuteleers" w:date="2020-04-01T18:56:00Z" w:initials="AN">
    <w:p w14:paraId="7133FEE3" w14:textId="77777777" w:rsidR="00572E5D" w:rsidRDefault="00572E5D">
      <w:pPr>
        <w:pStyle w:val="CommentText"/>
      </w:pPr>
      <w:r>
        <w:rPr>
          <w:rStyle w:val="CommentReference"/>
        </w:rPr>
        <w:annotationRef/>
      </w:r>
      <w:r>
        <w:t>What follows are a few examples – as we want to provide a template for inspiration, not an exhaustive listing of the potential changes that are best for your situation. In any case, the most appropriate solution will be very much case dependent and should follow careful consideration of the existing relation and the current and anticipated impact of the crisis thereon, together with an analysis of the current options realistically available and where equilibrium can be found in the mutual interest of the parties concerned</w:t>
      </w:r>
    </w:p>
  </w:comment>
  <w:comment w:id="12" w:author="Andy Neuteleers" w:date="2020-04-01T17:58:00Z" w:initials="AN">
    <w:p w14:paraId="72C64E7D" w14:textId="77777777" w:rsidR="00D20A2D" w:rsidRDefault="00D20A2D">
      <w:pPr>
        <w:pStyle w:val="CommentText"/>
      </w:pPr>
      <w:r>
        <w:rPr>
          <w:rStyle w:val="CommentReference"/>
        </w:rPr>
        <w:annotationRef/>
      </w:r>
      <w:r>
        <w:t xml:space="preserve">At this moment, we believe that it is better to proactively consider alternative terms and conditions – even when on a principles basis, without an exact indication of when the full impact will come to surface and come to an end -  than to do nothing or merely in hindsight (i.e. the ex-post/end-of-financial year principles are better to be laid down in advance, in our view) </w:t>
      </w:r>
    </w:p>
  </w:comment>
  <w:comment w:id="13" w:author="Andy Neuteleers" w:date="2020-04-01T18:03:00Z" w:initials="AN">
    <w:p w14:paraId="3CBDFAFC" w14:textId="77777777" w:rsidR="00D20A2D" w:rsidRDefault="00D20A2D">
      <w:pPr>
        <w:pStyle w:val="CommentText"/>
      </w:pPr>
      <w:r>
        <w:rPr>
          <w:rStyle w:val="CommentReference"/>
        </w:rPr>
        <w:annotationRef/>
      </w:r>
      <w:r>
        <w:t xml:space="preserve">Very open end. Alternative, to have an effective duration of a few months, which then is extensible for in mutual consent… Depending on what terms are effectively being amended.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EF89FD" w15:done="0"/>
  <w15:commentEx w15:paraId="568D96D6" w15:done="0"/>
  <w15:commentEx w15:paraId="10E0671D" w15:done="0"/>
  <w15:commentEx w15:paraId="0BE06F12" w15:done="0"/>
  <w15:commentEx w15:paraId="3C11CD79" w15:done="0"/>
  <w15:commentEx w15:paraId="12045CD2" w15:done="0"/>
  <w15:commentEx w15:paraId="4C69B12A" w15:done="0"/>
  <w15:commentEx w15:paraId="0DBE8009" w15:done="0"/>
  <w15:commentEx w15:paraId="6042A2B3" w15:done="0"/>
  <w15:commentEx w15:paraId="7768872A" w15:done="0"/>
  <w15:commentEx w15:paraId="001643CF" w15:done="0"/>
  <w15:commentEx w15:paraId="7133FEE3" w15:done="0"/>
  <w15:commentEx w15:paraId="72C64E7D" w15:done="0"/>
  <w15:commentEx w15:paraId="3CBDFA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D65E" w16cex:dateUtc="2020-03-31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EE4DEB" w16cid:durableId="222D91AE"/>
  <w16cid:commentId w16cid:paraId="479AA2D9" w16cid:durableId="222DD65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82E99" w14:textId="77777777" w:rsidR="00591B5F" w:rsidRDefault="00591B5F" w:rsidP="009B497A">
      <w:pPr>
        <w:spacing w:after="0" w:line="240" w:lineRule="auto"/>
      </w:pPr>
      <w:r>
        <w:separator/>
      </w:r>
    </w:p>
  </w:endnote>
  <w:endnote w:type="continuationSeparator" w:id="0">
    <w:p w14:paraId="3A6B0DB7" w14:textId="77777777" w:rsidR="00591B5F" w:rsidRDefault="00591B5F" w:rsidP="009B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7100" w14:textId="65E2AF67" w:rsidR="00FB5198" w:rsidRDefault="00FB5198">
    <w:pPr>
      <w:pStyle w:val="Footer"/>
    </w:pPr>
    <w:r w:rsidRPr="00FB5198">
      <w:drawing>
        <wp:inline distT="0" distB="0" distL="0" distR="0" wp14:anchorId="446FEE04" wp14:editId="150AE300">
          <wp:extent cx="1285554" cy="288000"/>
          <wp:effectExtent l="0" t="0" r="0" b="0"/>
          <wp:docPr id="50" name="Picture 2" descr="Y:\Business Development und Marketing\09-Branding-Werbung\1_Logos\10_Global Brand+Logo\WTS Global Logo\wts-global-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2" descr="Y:\Business Development und Marketing\09-Branding-Werbung\1_Logos\10_Global Brand+Logo\WTS Global Logo\wts-global-logo-rgb.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1285554" cy="28800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63F08" w14:textId="77777777" w:rsidR="00591B5F" w:rsidRDefault="00591B5F" w:rsidP="009B497A">
      <w:pPr>
        <w:spacing w:after="0" w:line="240" w:lineRule="auto"/>
      </w:pPr>
      <w:r>
        <w:separator/>
      </w:r>
    </w:p>
  </w:footnote>
  <w:footnote w:type="continuationSeparator" w:id="0">
    <w:p w14:paraId="1C4519B8" w14:textId="77777777" w:rsidR="00591B5F" w:rsidRDefault="00591B5F" w:rsidP="009B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C5AEB" w14:textId="5A5F0394" w:rsidR="009B497A" w:rsidRPr="009B497A" w:rsidRDefault="009B497A">
    <w:pPr>
      <w:pStyle w:val="Header"/>
      <w:rPr>
        <w:color w:val="E1194F"/>
      </w:rPr>
    </w:pPr>
    <w:r w:rsidRPr="009B497A">
      <w:rPr>
        <w:color w:val="E1194F"/>
      </w:rPr>
      <w:t>TEMPLATE – FOR INSPIRATION PURPOSES – SUBJECT TO FURTHER TP</w:t>
    </w:r>
    <w:r w:rsidR="001C3E39">
      <w:rPr>
        <w:color w:val="E1194F"/>
      </w:rPr>
      <w:t>/TAX</w:t>
    </w:r>
    <w:r w:rsidRPr="009B497A">
      <w:rPr>
        <w:color w:val="E1194F"/>
      </w:rPr>
      <w:t xml:space="preserve"> AND LEGAL COUNSEL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F6B"/>
    <w:multiLevelType w:val="hybridMultilevel"/>
    <w:tmpl w:val="D264E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44C15"/>
    <w:multiLevelType w:val="multilevel"/>
    <w:tmpl w:val="B6D47D2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0537B06"/>
    <w:multiLevelType w:val="hybridMultilevel"/>
    <w:tmpl w:val="F404DB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FA26CC"/>
    <w:multiLevelType w:val="hybridMultilevel"/>
    <w:tmpl w:val="D470716C"/>
    <w:lvl w:ilvl="0" w:tplc="FFFFFFFF">
      <w:start w:val="1"/>
      <w:numFmt w:val="decimal"/>
      <w:pStyle w:val="FWParties"/>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502C7790"/>
    <w:multiLevelType w:val="multilevel"/>
    <w:tmpl w:val="F1CA908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639D47F6"/>
    <w:multiLevelType w:val="multilevel"/>
    <w:tmpl w:val="B6D47D2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71F8040F"/>
    <w:multiLevelType w:val="hybridMultilevel"/>
    <w:tmpl w:val="A2D2D996"/>
    <w:lvl w:ilvl="0" w:tplc="04090015">
      <w:start w:val="1"/>
      <w:numFmt w:val="upp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77361258"/>
    <w:multiLevelType w:val="multilevel"/>
    <w:tmpl w:val="0276AA3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7D910333"/>
    <w:multiLevelType w:val="multilevel"/>
    <w:tmpl w:val="B6D47D2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3"/>
  </w:num>
  <w:num w:numId="4">
    <w:abstractNumId w:val="6"/>
  </w:num>
  <w:num w:numId="5">
    <w:abstractNumId w:val="5"/>
  </w:num>
  <w:num w:numId="6">
    <w:abstractNumId w:val="4"/>
  </w:num>
  <w:num w:numId="7">
    <w:abstractNumId w:val="8"/>
  </w:num>
  <w:num w:numId="8">
    <w:abstractNumId w:val="1"/>
  </w:num>
  <w:num w:numId="9">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y Neuteleers">
    <w15:presenceInfo w15:providerId="AD" w15:userId="S-1-5-21-4252867876-513499179-3545324678-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5F"/>
    <w:rsid w:val="00002527"/>
    <w:rsid w:val="00010DF8"/>
    <w:rsid w:val="00021284"/>
    <w:rsid w:val="00021739"/>
    <w:rsid w:val="000450C2"/>
    <w:rsid w:val="000511BF"/>
    <w:rsid w:val="00061574"/>
    <w:rsid w:val="00061A3A"/>
    <w:rsid w:val="000673A7"/>
    <w:rsid w:val="00070A79"/>
    <w:rsid w:val="000741D9"/>
    <w:rsid w:val="00076DAD"/>
    <w:rsid w:val="0009694B"/>
    <w:rsid w:val="000B20D8"/>
    <w:rsid w:val="000C3C60"/>
    <w:rsid w:val="000D72C3"/>
    <w:rsid w:val="000E4B7A"/>
    <w:rsid w:val="000E7D17"/>
    <w:rsid w:val="000F0BD6"/>
    <w:rsid w:val="000F290F"/>
    <w:rsid w:val="000F3259"/>
    <w:rsid w:val="000F6F9F"/>
    <w:rsid w:val="001057D3"/>
    <w:rsid w:val="00105E21"/>
    <w:rsid w:val="0011234A"/>
    <w:rsid w:val="0011773B"/>
    <w:rsid w:val="0013234E"/>
    <w:rsid w:val="001452B6"/>
    <w:rsid w:val="00160D1E"/>
    <w:rsid w:val="00174095"/>
    <w:rsid w:val="00174715"/>
    <w:rsid w:val="00176CFD"/>
    <w:rsid w:val="0018191E"/>
    <w:rsid w:val="001952FE"/>
    <w:rsid w:val="001A076B"/>
    <w:rsid w:val="001A179C"/>
    <w:rsid w:val="001B05CF"/>
    <w:rsid w:val="001C2F2A"/>
    <w:rsid w:val="001C3DDC"/>
    <w:rsid w:val="001C3E39"/>
    <w:rsid w:val="001C6ABA"/>
    <w:rsid w:val="001D185D"/>
    <w:rsid w:val="001D3CE0"/>
    <w:rsid w:val="001E0F24"/>
    <w:rsid w:val="001E18B1"/>
    <w:rsid w:val="001E34E6"/>
    <w:rsid w:val="001F2CE9"/>
    <w:rsid w:val="001F3CA4"/>
    <w:rsid w:val="001F7B4F"/>
    <w:rsid w:val="00203769"/>
    <w:rsid w:val="0020422E"/>
    <w:rsid w:val="002238DF"/>
    <w:rsid w:val="00225112"/>
    <w:rsid w:val="00232577"/>
    <w:rsid w:val="002368D1"/>
    <w:rsid w:val="00240502"/>
    <w:rsid w:val="002607CE"/>
    <w:rsid w:val="00263F3E"/>
    <w:rsid w:val="00265D48"/>
    <w:rsid w:val="002669B0"/>
    <w:rsid w:val="00270FB4"/>
    <w:rsid w:val="00274ABD"/>
    <w:rsid w:val="00285A9F"/>
    <w:rsid w:val="00290A16"/>
    <w:rsid w:val="00292745"/>
    <w:rsid w:val="00292AB4"/>
    <w:rsid w:val="002A2B21"/>
    <w:rsid w:val="002A5565"/>
    <w:rsid w:val="002A695B"/>
    <w:rsid w:val="002B3FE4"/>
    <w:rsid w:val="002B493D"/>
    <w:rsid w:val="002B5840"/>
    <w:rsid w:val="002B7C74"/>
    <w:rsid w:val="002C016A"/>
    <w:rsid w:val="002D1184"/>
    <w:rsid w:val="002E52EA"/>
    <w:rsid w:val="002E5BD9"/>
    <w:rsid w:val="002E5F30"/>
    <w:rsid w:val="002E6888"/>
    <w:rsid w:val="002F3C7A"/>
    <w:rsid w:val="002F6799"/>
    <w:rsid w:val="002F7420"/>
    <w:rsid w:val="00306824"/>
    <w:rsid w:val="00307AD0"/>
    <w:rsid w:val="00313CE2"/>
    <w:rsid w:val="00326C25"/>
    <w:rsid w:val="00332DE4"/>
    <w:rsid w:val="00332EF0"/>
    <w:rsid w:val="00352701"/>
    <w:rsid w:val="00360B55"/>
    <w:rsid w:val="003735F3"/>
    <w:rsid w:val="00380B25"/>
    <w:rsid w:val="00396017"/>
    <w:rsid w:val="00396AD2"/>
    <w:rsid w:val="003A408D"/>
    <w:rsid w:val="003B07F8"/>
    <w:rsid w:val="003B0BE7"/>
    <w:rsid w:val="003B15A1"/>
    <w:rsid w:val="003C1F76"/>
    <w:rsid w:val="003D1CFD"/>
    <w:rsid w:val="003D2AB4"/>
    <w:rsid w:val="003E2B53"/>
    <w:rsid w:val="003E579D"/>
    <w:rsid w:val="003F2134"/>
    <w:rsid w:val="003F3C12"/>
    <w:rsid w:val="00400A54"/>
    <w:rsid w:val="00400D97"/>
    <w:rsid w:val="00402EE2"/>
    <w:rsid w:val="00406EE6"/>
    <w:rsid w:val="0042227D"/>
    <w:rsid w:val="0042446C"/>
    <w:rsid w:val="00425F03"/>
    <w:rsid w:val="00427DF6"/>
    <w:rsid w:val="00431472"/>
    <w:rsid w:val="0043201B"/>
    <w:rsid w:val="0045170B"/>
    <w:rsid w:val="0045410B"/>
    <w:rsid w:val="00457138"/>
    <w:rsid w:val="004774DE"/>
    <w:rsid w:val="004817B1"/>
    <w:rsid w:val="00482AC7"/>
    <w:rsid w:val="00485BC1"/>
    <w:rsid w:val="004951AB"/>
    <w:rsid w:val="004A25D1"/>
    <w:rsid w:val="004A54A6"/>
    <w:rsid w:val="004B0C2D"/>
    <w:rsid w:val="004B4E2F"/>
    <w:rsid w:val="004B59F9"/>
    <w:rsid w:val="004B7678"/>
    <w:rsid w:val="004C1C02"/>
    <w:rsid w:val="004C3B35"/>
    <w:rsid w:val="004D62FC"/>
    <w:rsid w:val="004E1E03"/>
    <w:rsid w:val="004E2157"/>
    <w:rsid w:val="004E44DF"/>
    <w:rsid w:val="004E50B7"/>
    <w:rsid w:val="00515877"/>
    <w:rsid w:val="00523307"/>
    <w:rsid w:val="00534309"/>
    <w:rsid w:val="005377B8"/>
    <w:rsid w:val="00550547"/>
    <w:rsid w:val="00560222"/>
    <w:rsid w:val="00562796"/>
    <w:rsid w:val="0056309D"/>
    <w:rsid w:val="00564C22"/>
    <w:rsid w:val="0056793D"/>
    <w:rsid w:val="00572E5D"/>
    <w:rsid w:val="0058217F"/>
    <w:rsid w:val="0059011D"/>
    <w:rsid w:val="00591B5F"/>
    <w:rsid w:val="005B6587"/>
    <w:rsid w:val="005D35A0"/>
    <w:rsid w:val="005D72B7"/>
    <w:rsid w:val="005E71EB"/>
    <w:rsid w:val="005E7B08"/>
    <w:rsid w:val="005F0EC2"/>
    <w:rsid w:val="006147A4"/>
    <w:rsid w:val="00620BCF"/>
    <w:rsid w:val="00634D04"/>
    <w:rsid w:val="00644768"/>
    <w:rsid w:val="00651AFF"/>
    <w:rsid w:val="00653A04"/>
    <w:rsid w:val="00654DB2"/>
    <w:rsid w:val="00656DC8"/>
    <w:rsid w:val="0066236C"/>
    <w:rsid w:val="00663619"/>
    <w:rsid w:val="006664B0"/>
    <w:rsid w:val="0067764B"/>
    <w:rsid w:val="00681EEA"/>
    <w:rsid w:val="00697103"/>
    <w:rsid w:val="006A0818"/>
    <w:rsid w:val="006B1321"/>
    <w:rsid w:val="006B5E00"/>
    <w:rsid w:val="006C18F8"/>
    <w:rsid w:val="006D7B1B"/>
    <w:rsid w:val="006E7184"/>
    <w:rsid w:val="006F3EFA"/>
    <w:rsid w:val="00717D45"/>
    <w:rsid w:val="007203E4"/>
    <w:rsid w:val="00722487"/>
    <w:rsid w:val="00724F5B"/>
    <w:rsid w:val="0073520A"/>
    <w:rsid w:val="00735CCC"/>
    <w:rsid w:val="00736D6E"/>
    <w:rsid w:val="007372A1"/>
    <w:rsid w:val="00740303"/>
    <w:rsid w:val="00745F49"/>
    <w:rsid w:val="00747B5D"/>
    <w:rsid w:val="007508D7"/>
    <w:rsid w:val="00751D88"/>
    <w:rsid w:val="00752A21"/>
    <w:rsid w:val="00763A47"/>
    <w:rsid w:val="0076504A"/>
    <w:rsid w:val="00767CC1"/>
    <w:rsid w:val="007721A2"/>
    <w:rsid w:val="00775ED0"/>
    <w:rsid w:val="007811E2"/>
    <w:rsid w:val="00794241"/>
    <w:rsid w:val="007A24F1"/>
    <w:rsid w:val="007B6C08"/>
    <w:rsid w:val="007B733C"/>
    <w:rsid w:val="007B7FD1"/>
    <w:rsid w:val="007C7AFB"/>
    <w:rsid w:val="007D54C4"/>
    <w:rsid w:val="007E5DC6"/>
    <w:rsid w:val="007E679F"/>
    <w:rsid w:val="007E716B"/>
    <w:rsid w:val="007F1177"/>
    <w:rsid w:val="00801B13"/>
    <w:rsid w:val="008109B5"/>
    <w:rsid w:val="008159B4"/>
    <w:rsid w:val="00815D43"/>
    <w:rsid w:val="00817EB5"/>
    <w:rsid w:val="008227F5"/>
    <w:rsid w:val="008419A3"/>
    <w:rsid w:val="00841C4B"/>
    <w:rsid w:val="00842418"/>
    <w:rsid w:val="008446D4"/>
    <w:rsid w:val="00845660"/>
    <w:rsid w:val="00845D23"/>
    <w:rsid w:val="00857C67"/>
    <w:rsid w:val="00862524"/>
    <w:rsid w:val="0086382C"/>
    <w:rsid w:val="008732D2"/>
    <w:rsid w:val="00874A43"/>
    <w:rsid w:val="00886861"/>
    <w:rsid w:val="008904D4"/>
    <w:rsid w:val="008B17FB"/>
    <w:rsid w:val="008B2633"/>
    <w:rsid w:val="008B2F78"/>
    <w:rsid w:val="008C4ADE"/>
    <w:rsid w:val="008C6A53"/>
    <w:rsid w:val="008D3611"/>
    <w:rsid w:val="008D5150"/>
    <w:rsid w:val="008E29DF"/>
    <w:rsid w:val="008F5202"/>
    <w:rsid w:val="00905D1B"/>
    <w:rsid w:val="00907146"/>
    <w:rsid w:val="00922014"/>
    <w:rsid w:val="0092211A"/>
    <w:rsid w:val="00925942"/>
    <w:rsid w:val="00925D2C"/>
    <w:rsid w:val="0093189C"/>
    <w:rsid w:val="00944581"/>
    <w:rsid w:val="00952481"/>
    <w:rsid w:val="00954B0C"/>
    <w:rsid w:val="009579E6"/>
    <w:rsid w:val="00962D7F"/>
    <w:rsid w:val="00964CEC"/>
    <w:rsid w:val="00967D6C"/>
    <w:rsid w:val="00977189"/>
    <w:rsid w:val="00984586"/>
    <w:rsid w:val="009924B9"/>
    <w:rsid w:val="009A0357"/>
    <w:rsid w:val="009A1F45"/>
    <w:rsid w:val="009A294F"/>
    <w:rsid w:val="009B3931"/>
    <w:rsid w:val="009B3BEC"/>
    <w:rsid w:val="009B408B"/>
    <w:rsid w:val="009B497A"/>
    <w:rsid w:val="009B6182"/>
    <w:rsid w:val="009C0779"/>
    <w:rsid w:val="009C4A4F"/>
    <w:rsid w:val="009C6B85"/>
    <w:rsid w:val="009D0576"/>
    <w:rsid w:val="009D3CF9"/>
    <w:rsid w:val="009D5670"/>
    <w:rsid w:val="009E301D"/>
    <w:rsid w:val="00A03B90"/>
    <w:rsid w:val="00A044AB"/>
    <w:rsid w:val="00A05B78"/>
    <w:rsid w:val="00A07A73"/>
    <w:rsid w:val="00A10277"/>
    <w:rsid w:val="00A109C5"/>
    <w:rsid w:val="00A12048"/>
    <w:rsid w:val="00A12F32"/>
    <w:rsid w:val="00A265E2"/>
    <w:rsid w:val="00A30E79"/>
    <w:rsid w:val="00A34047"/>
    <w:rsid w:val="00A5455A"/>
    <w:rsid w:val="00A559CF"/>
    <w:rsid w:val="00A80D93"/>
    <w:rsid w:val="00A81FB1"/>
    <w:rsid w:val="00A828A9"/>
    <w:rsid w:val="00A8550B"/>
    <w:rsid w:val="00A87C40"/>
    <w:rsid w:val="00AB0751"/>
    <w:rsid w:val="00AB2DC0"/>
    <w:rsid w:val="00AC2993"/>
    <w:rsid w:val="00AC6842"/>
    <w:rsid w:val="00AC686E"/>
    <w:rsid w:val="00AD0679"/>
    <w:rsid w:val="00AD0F10"/>
    <w:rsid w:val="00AD19E6"/>
    <w:rsid w:val="00AD43BF"/>
    <w:rsid w:val="00AD73BD"/>
    <w:rsid w:val="00AF4CF8"/>
    <w:rsid w:val="00AF5928"/>
    <w:rsid w:val="00AF7925"/>
    <w:rsid w:val="00B019D5"/>
    <w:rsid w:val="00B0441B"/>
    <w:rsid w:val="00B0461E"/>
    <w:rsid w:val="00B075B6"/>
    <w:rsid w:val="00B13169"/>
    <w:rsid w:val="00B20094"/>
    <w:rsid w:val="00B32F87"/>
    <w:rsid w:val="00B46116"/>
    <w:rsid w:val="00B61881"/>
    <w:rsid w:val="00B63B8C"/>
    <w:rsid w:val="00B63BBB"/>
    <w:rsid w:val="00B74816"/>
    <w:rsid w:val="00B85454"/>
    <w:rsid w:val="00B9399D"/>
    <w:rsid w:val="00BA3B8F"/>
    <w:rsid w:val="00BB1640"/>
    <w:rsid w:val="00BB17BC"/>
    <w:rsid w:val="00BB26F7"/>
    <w:rsid w:val="00BC125D"/>
    <w:rsid w:val="00BC1987"/>
    <w:rsid w:val="00BD34C2"/>
    <w:rsid w:val="00BE39B7"/>
    <w:rsid w:val="00BE5DC7"/>
    <w:rsid w:val="00BF21D2"/>
    <w:rsid w:val="00BF3D5C"/>
    <w:rsid w:val="00BF7073"/>
    <w:rsid w:val="00C057AF"/>
    <w:rsid w:val="00C0683B"/>
    <w:rsid w:val="00C06CB1"/>
    <w:rsid w:val="00C119CD"/>
    <w:rsid w:val="00C21ED7"/>
    <w:rsid w:val="00C31F54"/>
    <w:rsid w:val="00C3245F"/>
    <w:rsid w:val="00C41038"/>
    <w:rsid w:val="00C416D9"/>
    <w:rsid w:val="00C517C8"/>
    <w:rsid w:val="00C51D3F"/>
    <w:rsid w:val="00C51D77"/>
    <w:rsid w:val="00C54AD8"/>
    <w:rsid w:val="00C572C0"/>
    <w:rsid w:val="00C5767D"/>
    <w:rsid w:val="00C6195F"/>
    <w:rsid w:val="00C667A8"/>
    <w:rsid w:val="00C7099B"/>
    <w:rsid w:val="00C81AC2"/>
    <w:rsid w:val="00C82AF5"/>
    <w:rsid w:val="00C84C7C"/>
    <w:rsid w:val="00CA2CDA"/>
    <w:rsid w:val="00CB14C0"/>
    <w:rsid w:val="00CB38B7"/>
    <w:rsid w:val="00CC08CA"/>
    <w:rsid w:val="00CD70C0"/>
    <w:rsid w:val="00CE00B9"/>
    <w:rsid w:val="00CE5BD5"/>
    <w:rsid w:val="00CF102F"/>
    <w:rsid w:val="00CF2E85"/>
    <w:rsid w:val="00CF652B"/>
    <w:rsid w:val="00D0014D"/>
    <w:rsid w:val="00D0339A"/>
    <w:rsid w:val="00D1186A"/>
    <w:rsid w:val="00D150F0"/>
    <w:rsid w:val="00D20A2D"/>
    <w:rsid w:val="00D24307"/>
    <w:rsid w:val="00D309A3"/>
    <w:rsid w:val="00D32FF9"/>
    <w:rsid w:val="00D45210"/>
    <w:rsid w:val="00D46AED"/>
    <w:rsid w:val="00D50AF6"/>
    <w:rsid w:val="00D57455"/>
    <w:rsid w:val="00D62D23"/>
    <w:rsid w:val="00D80D90"/>
    <w:rsid w:val="00D843DC"/>
    <w:rsid w:val="00D86D43"/>
    <w:rsid w:val="00D87BF7"/>
    <w:rsid w:val="00D92805"/>
    <w:rsid w:val="00D9281F"/>
    <w:rsid w:val="00D94E37"/>
    <w:rsid w:val="00D95573"/>
    <w:rsid w:val="00DA45A5"/>
    <w:rsid w:val="00DB63A1"/>
    <w:rsid w:val="00DC3D77"/>
    <w:rsid w:val="00DD1E48"/>
    <w:rsid w:val="00DD5A0C"/>
    <w:rsid w:val="00DE6817"/>
    <w:rsid w:val="00DF38B8"/>
    <w:rsid w:val="00E048A9"/>
    <w:rsid w:val="00E11D3D"/>
    <w:rsid w:val="00E154C0"/>
    <w:rsid w:val="00E218BB"/>
    <w:rsid w:val="00E22382"/>
    <w:rsid w:val="00E23952"/>
    <w:rsid w:val="00E26634"/>
    <w:rsid w:val="00E355D5"/>
    <w:rsid w:val="00E44D76"/>
    <w:rsid w:val="00E53403"/>
    <w:rsid w:val="00E5638A"/>
    <w:rsid w:val="00E61888"/>
    <w:rsid w:val="00E75709"/>
    <w:rsid w:val="00E767A4"/>
    <w:rsid w:val="00E76897"/>
    <w:rsid w:val="00E80C58"/>
    <w:rsid w:val="00E8494A"/>
    <w:rsid w:val="00E93650"/>
    <w:rsid w:val="00E93840"/>
    <w:rsid w:val="00E97995"/>
    <w:rsid w:val="00EA0D09"/>
    <w:rsid w:val="00EA2749"/>
    <w:rsid w:val="00EA2CEC"/>
    <w:rsid w:val="00EA65D4"/>
    <w:rsid w:val="00ED06C2"/>
    <w:rsid w:val="00ED4A62"/>
    <w:rsid w:val="00EE5E66"/>
    <w:rsid w:val="00EF063D"/>
    <w:rsid w:val="00EF5C3C"/>
    <w:rsid w:val="00F11ABB"/>
    <w:rsid w:val="00F14BF4"/>
    <w:rsid w:val="00F17C0E"/>
    <w:rsid w:val="00F23B45"/>
    <w:rsid w:val="00F24983"/>
    <w:rsid w:val="00F310C0"/>
    <w:rsid w:val="00F346D2"/>
    <w:rsid w:val="00F427C9"/>
    <w:rsid w:val="00F52364"/>
    <w:rsid w:val="00F530EB"/>
    <w:rsid w:val="00F54B60"/>
    <w:rsid w:val="00F55E56"/>
    <w:rsid w:val="00F560B4"/>
    <w:rsid w:val="00F57327"/>
    <w:rsid w:val="00F71B13"/>
    <w:rsid w:val="00F778A8"/>
    <w:rsid w:val="00F81A8E"/>
    <w:rsid w:val="00F84435"/>
    <w:rsid w:val="00F877D0"/>
    <w:rsid w:val="00F97F71"/>
    <w:rsid w:val="00FA1877"/>
    <w:rsid w:val="00FA4E2C"/>
    <w:rsid w:val="00FB5198"/>
    <w:rsid w:val="00FB54DD"/>
    <w:rsid w:val="00FB5E98"/>
    <w:rsid w:val="00FB6CE2"/>
    <w:rsid w:val="00FC35FA"/>
    <w:rsid w:val="00FC6C0D"/>
    <w:rsid w:val="00FD00F6"/>
    <w:rsid w:val="00FD778A"/>
    <w:rsid w:val="00FE23B8"/>
    <w:rsid w:val="00FE67BD"/>
    <w:rsid w:val="00F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AA45"/>
  <w15:chartTrackingRefBased/>
  <w15:docId w15:val="{19604E6D-DF53-412D-8B9E-8E995855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29DF"/>
    <w:pPr>
      <w:ind w:left="720"/>
      <w:contextualSpacing/>
    </w:pPr>
  </w:style>
  <w:style w:type="character" w:styleId="CommentReference">
    <w:name w:val="annotation reference"/>
    <w:basedOn w:val="DefaultParagraphFont"/>
    <w:uiPriority w:val="99"/>
    <w:semiHidden/>
    <w:unhideWhenUsed/>
    <w:rsid w:val="00F560B4"/>
    <w:rPr>
      <w:sz w:val="16"/>
      <w:szCs w:val="16"/>
    </w:rPr>
  </w:style>
  <w:style w:type="paragraph" w:styleId="CommentText">
    <w:name w:val="annotation text"/>
    <w:basedOn w:val="Normal"/>
    <w:link w:val="CommentTextChar"/>
    <w:uiPriority w:val="99"/>
    <w:semiHidden/>
    <w:unhideWhenUsed/>
    <w:rsid w:val="00F560B4"/>
    <w:pPr>
      <w:spacing w:line="240" w:lineRule="auto"/>
    </w:pPr>
    <w:rPr>
      <w:sz w:val="20"/>
      <w:szCs w:val="20"/>
    </w:rPr>
  </w:style>
  <w:style w:type="character" w:customStyle="1" w:styleId="CommentTextChar">
    <w:name w:val="Comment Text Char"/>
    <w:basedOn w:val="DefaultParagraphFont"/>
    <w:link w:val="CommentText"/>
    <w:uiPriority w:val="99"/>
    <w:semiHidden/>
    <w:rsid w:val="00F560B4"/>
    <w:rPr>
      <w:sz w:val="20"/>
      <w:szCs w:val="20"/>
    </w:rPr>
  </w:style>
  <w:style w:type="paragraph" w:styleId="CommentSubject">
    <w:name w:val="annotation subject"/>
    <w:basedOn w:val="CommentText"/>
    <w:next w:val="CommentText"/>
    <w:link w:val="CommentSubjectChar"/>
    <w:uiPriority w:val="99"/>
    <w:semiHidden/>
    <w:unhideWhenUsed/>
    <w:rsid w:val="00F560B4"/>
    <w:rPr>
      <w:b/>
      <w:bCs/>
    </w:rPr>
  </w:style>
  <w:style w:type="character" w:customStyle="1" w:styleId="CommentSubjectChar">
    <w:name w:val="Comment Subject Char"/>
    <w:basedOn w:val="CommentTextChar"/>
    <w:link w:val="CommentSubject"/>
    <w:uiPriority w:val="99"/>
    <w:semiHidden/>
    <w:rsid w:val="00F560B4"/>
    <w:rPr>
      <w:b/>
      <w:bCs/>
      <w:sz w:val="20"/>
      <w:szCs w:val="20"/>
    </w:rPr>
  </w:style>
  <w:style w:type="paragraph" w:styleId="BalloonText">
    <w:name w:val="Balloon Text"/>
    <w:basedOn w:val="Normal"/>
    <w:link w:val="BalloonTextChar"/>
    <w:uiPriority w:val="99"/>
    <w:semiHidden/>
    <w:unhideWhenUsed/>
    <w:rsid w:val="00F56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0B4"/>
    <w:rPr>
      <w:rFonts w:ascii="Segoe UI" w:hAnsi="Segoe UI" w:cs="Segoe UI"/>
      <w:sz w:val="18"/>
      <w:szCs w:val="18"/>
    </w:rPr>
  </w:style>
  <w:style w:type="paragraph" w:customStyle="1" w:styleId="FWParties">
    <w:name w:val="FWParties"/>
    <w:basedOn w:val="BodyText"/>
    <w:rsid w:val="00E22382"/>
    <w:pPr>
      <w:numPr>
        <w:numId w:val="3"/>
      </w:numPr>
      <w:tabs>
        <w:tab w:val="clear" w:pos="720"/>
        <w:tab w:val="num" w:pos="360"/>
        <w:tab w:val="num" w:pos="1778"/>
      </w:tabs>
      <w:spacing w:after="240" w:line="240" w:lineRule="auto"/>
      <w:ind w:left="1778" w:hanging="360"/>
      <w:jc w:val="both"/>
    </w:pPr>
    <w:rPr>
      <w:rFonts w:ascii="Times New Roman" w:eastAsia="Times New Roman" w:hAnsi="Times New Roman" w:cs="Times New Roman"/>
      <w:sz w:val="24"/>
      <w:szCs w:val="24"/>
      <w:lang w:val="en-GB"/>
    </w:rPr>
  </w:style>
  <w:style w:type="paragraph" w:styleId="BodyText">
    <w:name w:val="Body Text"/>
    <w:basedOn w:val="Normal"/>
    <w:link w:val="BodyTextChar"/>
    <w:uiPriority w:val="99"/>
    <w:semiHidden/>
    <w:unhideWhenUsed/>
    <w:rsid w:val="00E22382"/>
    <w:pPr>
      <w:spacing w:after="120"/>
    </w:pPr>
  </w:style>
  <w:style w:type="character" w:customStyle="1" w:styleId="BodyTextChar">
    <w:name w:val="Body Text Char"/>
    <w:basedOn w:val="DefaultParagraphFont"/>
    <w:link w:val="BodyText"/>
    <w:uiPriority w:val="99"/>
    <w:semiHidden/>
    <w:rsid w:val="00E22382"/>
  </w:style>
  <w:style w:type="paragraph" w:styleId="EndnoteText">
    <w:name w:val="endnote text"/>
    <w:basedOn w:val="Normal"/>
    <w:link w:val="EndnoteTextChar"/>
    <w:uiPriority w:val="99"/>
    <w:semiHidden/>
    <w:unhideWhenUsed/>
    <w:rsid w:val="009B4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B497A"/>
    <w:rPr>
      <w:sz w:val="20"/>
      <w:szCs w:val="20"/>
    </w:rPr>
  </w:style>
  <w:style w:type="character" w:styleId="EndnoteReference">
    <w:name w:val="endnote reference"/>
    <w:basedOn w:val="DefaultParagraphFont"/>
    <w:uiPriority w:val="99"/>
    <w:semiHidden/>
    <w:unhideWhenUsed/>
    <w:rsid w:val="009B497A"/>
    <w:rPr>
      <w:vertAlign w:val="superscript"/>
    </w:rPr>
  </w:style>
  <w:style w:type="paragraph" w:styleId="Header">
    <w:name w:val="header"/>
    <w:basedOn w:val="Normal"/>
    <w:link w:val="HeaderChar"/>
    <w:uiPriority w:val="99"/>
    <w:unhideWhenUsed/>
    <w:rsid w:val="009B4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97A"/>
  </w:style>
  <w:style w:type="paragraph" w:styleId="Footer">
    <w:name w:val="footer"/>
    <w:basedOn w:val="Normal"/>
    <w:link w:val="FooterChar"/>
    <w:uiPriority w:val="99"/>
    <w:unhideWhenUsed/>
    <w:rsid w:val="009B4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97A"/>
  </w:style>
  <w:style w:type="character" w:styleId="Hyperlink">
    <w:name w:val="Hyperlink"/>
    <w:basedOn w:val="DefaultParagraphFont"/>
    <w:uiPriority w:val="99"/>
    <w:unhideWhenUsed/>
    <w:rsid w:val="006B13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77570">
      <w:bodyDiv w:val="1"/>
      <w:marLeft w:val="0"/>
      <w:marRight w:val="0"/>
      <w:marTop w:val="0"/>
      <w:marBottom w:val="0"/>
      <w:divBdr>
        <w:top w:val="none" w:sz="0" w:space="0" w:color="auto"/>
        <w:left w:val="none" w:sz="0" w:space="0" w:color="auto"/>
        <w:bottom w:val="none" w:sz="0" w:space="0" w:color="auto"/>
        <w:right w:val="none" w:sz="0" w:space="0" w:color="auto"/>
      </w:divBdr>
    </w:div>
    <w:div w:id="705371165">
      <w:bodyDiv w:val="1"/>
      <w:marLeft w:val="0"/>
      <w:marRight w:val="0"/>
      <w:marTop w:val="0"/>
      <w:marBottom w:val="0"/>
      <w:divBdr>
        <w:top w:val="none" w:sz="0" w:space="0" w:color="auto"/>
        <w:left w:val="none" w:sz="0" w:space="0" w:color="auto"/>
        <w:bottom w:val="none" w:sz="0" w:space="0" w:color="auto"/>
        <w:right w:val="none" w:sz="0" w:space="0" w:color="auto"/>
      </w:divBdr>
    </w:div>
    <w:div w:id="1040471812">
      <w:bodyDiv w:val="1"/>
      <w:marLeft w:val="0"/>
      <w:marRight w:val="0"/>
      <w:marTop w:val="0"/>
      <w:marBottom w:val="0"/>
      <w:divBdr>
        <w:top w:val="none" w:sz="0" w:space="0" w:color="auto"/>
        <w:left w:val="none" w:sz="0" w:space="0" w:color="auto"/>
        <w:bottom w:val="none" w:sz="0" w:space="0" w:color="auto"/>
        <w:right w:val="none" w:sz="0" w:space="0" w:color="auto"/>
      </w:divBdr>
    </w:div>
    <w:div w:id="199518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www.wts.com/globa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economic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dy@TAeconomics.com"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5AAB0-FEF1-4D25-9934-EF84B5198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Heleen Van Baelen</dc:creator>
  <cp:keywords/>
  <dc:description/>
  <cp:lastModifiedBy>Andy Neuteleers</cp:lastModifiedBy>
  <cp:revision>2</cp:revision>
  <dcterms:created xsi:type="dcterms:W3CDTF">2020-04-28T08:33:00Z</dcterms:created>
  <dcterms:modified xsi:type="dcterms:W3CDTF">2020-04-28T08:33:00Z</dcterms:modified>
</cp:coreProperties>
</file>